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tabs>
          <w:tab w:val="left" w:pos="5790" w:leader="none"/>
        </w:tabs>
        <w:ind w:hanging="426"/>
        <w:rPr/>
      </w:pPr>
      <w:bookmarkStart w:id="0" w:name="_Toc456877294"/>
      <w:bookmarkStart w:id="1" w:name="_Toc388614742"/>
      <w:bookmarkStart w:id="2" w:name="_Toc369786254"/>
      <w:r>
        <w:rPr/>
        <w:t>I. OPIS TECHNICZNY.</w:t>
      </w:r>
      <w:bookmarkEnd w:id="0"/>
      <w:bookmarkEnd w:id="1"/>
      <w:bookmarkEnd w:id="2"/>
      <w:r>
        <w:rPr/>
        <w:tab/>
      </w:r>
    </w:p>
    <w:p>
      <w:pPr>
        <w:pStyle w:val="Nagwek2"/>
        <w:numPr>
          <w:ilvl w:val="0"/>
          <w:numId w:val="2"/>
        </w:numPr>
        <w:rPr/>
      </w:pPr>
      <w:bookmarkStart w:id="3" w:name="_Toc456877295"/>
      <w:bookmarkStart w:id="4" w:name="_Toc388614743"/>
      <w:bookmarkStart w:id="5" w:name="_Toc369786255"/>
      <w:bookmarkStart w:id="6" w:name="_Toc365462800"/>
      <w:bookmarkEnd w:id="3"/>
      <w:bookmarkEnd w:id="4"/>
      <w:bookmarkEnd w:id="5"/>
      <w:bookmarkEnd w:id="6"/>
      <w:r>
        <w:rPr/>
        <w:t>PODSTAWA OPRACOWANIA.</w:t>
      </w:r>
    </w:p>
    <w:p>
      <w:pPr>
        <w:pStyle w:val="Normal"/>
        <w:numPr>
          <w:ilvl w:val="1"/>
          <w:numId w:val="3"/>
        </w:numPr>
        <w:rPr/>
      </w:pPr>
      <w:r>
        <w:rPr/>
        <w:t>Umowa z Inwestorem nr 20/BIS-I/Z/1284 z dnia 22.07.2016 r.</w:t>
      </w:r>
    </w:p>
    <w:p>
      <w:pPr>
        <w:pStyle w:val="Normal"/>
        <w:numPr>
          <w:ilvl w:val="1"/>
          <w:numId w:val="3"/>
        </w:numPr>
        <w:rPr/>
      </w:pPr>
      <w:r>
        <w:rPr>
          <w:szCs w:val="24"/>
        </w:rPr>
        <w:t>Dokumentacja badań podłoża gruntowego z opinią geotechniczną określająca warunki gruntowo – wodne na potrzeby budowy Nowej Przezmysłowej na odcinku od węzła „Trzepowo” w Płocku do skrzyżowania z DP 5205W wykonane przez firmę Geotest.</w:t>
      </w:r>
    </w:p>
    <w:p>
      <w:pPr>
        <w:pStyle w:val="Normal"/>
        <w:numPr>
          <w:ilvl w:val="1"/>
          <w:numId w:val="3"/>
        </w:numPr>
        <w:rPr/>
      </w:pPr>
      <w:r>
        <w:rPr/>
        <w:t>Warunki Urzędu Miasta Płocka nr BIS-I.7011.19.19.2016.RK z dnia 01.12.2016r.</w:t>
      </w:r>
    </w:p>
    <w:p>
      <w:pPr>
        <w:pStyle w:val="Normal"/>
        <w:numPr>
          <w:ilvl w:val="1"/>
          <w:numId w:val="3"/>
        </w:numPr>
        <w:rPr/>
      </w:pPr>
      <w:r>
        <w:rPr/>
        <w:t>Warunki techniczne Gospodarki Komunalnej ,,Stara Biała” nr ZT/420/110/2016 z dnia 26.10.2016r.</w:t>
      </w:r>
    </w:p>
    <w:p>
      <w:pPr>
        <w:pStyle w:val="Normal"/>
        <w:numPr>
          <w:ilvl w:val="1"/>
          <w:numId w:val="3"/>
        </w:numPr>
        <w:rPr/>
      </w:pPr>
      <w:r>
        <w:rPr/>
        <w:t>Warunki techniczne Wodociągów Płockich nr TT/5/4879/2016 z dnia 21.10.2016r.</w:t>
      </w:r>
    </w:p>
    <w:p>
      <w:pPr>
        <w:pStyle w:val="Normal"/>
        <w:numPr>
          <w:ilvl w:val="1"/>
          <w:numId w:val="3"/>
        </w:numPr>
        <w:rPr/>
      </w:pPr>
      <w:r>
        <w:rPr/>
        <w:t>Warunki techniczne Wodociągi Płockie nr TT/5/4880/2016 z dnia 21.10.2016r.</w:t>
      </w:r>
    </w:p>
    <w:p>
      <w:pPr>
        <w:pStyle w:val="Normal"/>
        <w:numPr>
          <w:ilvl w:val="1"/>
          <w:numId w:val="3"/>
        </w:numPr>
        <w:rPr/>
      </w:pPr>
      <w:r>
        <w:rPr/>
        <w:t>Warunki techniczne Wojewódzkiego Zarządu Melioracji i Urządzeń Wodnych w warszawie Oddział Płock nr IP/PŁ-4105.U.1988.4981/16 z dnia 22.11.2016r.</w:t>
      </w:r>
    </w:p>
    <w:p>
      <w:pPr>
        <w:pStyle w:val="Normal"/>
        <w:numPr>
          <w:ilvl w:val="1"/>
          <w:numId w:val="3"/>
        </w:numPr>
        <w:rPr/>
      </w:pPr>
      <w:r>
        <w:rPr/>
        <w:t>Warunki techniczne Wojewódzkiego Zarządu Melioracji i Urządzeń Wodnych w warszawie Oddział Płock nr IP/PŁ-4105.184.576/17 z dnia 10.02.2017r.</w:t>
      </w:r>
    </w:p>
    <w:p>
      <w:pPr>
        <w:pStyle w:val="Normal"/>
        <w:numPr>
          <w:ilvl w:val="1"/>
          <w:numId w:val="3"/>
        </w:numPr>
        <w:rPr/>
      </w:pPr>
      <w:r>
        <w:rPr/>
        <w:t>Opinia Regionalnego Dyrektora Ochrony Środowiska w Warszawie                                                   nr WOOŚ-I.4240.16.2017.IA.3 z dnia 22.02.2017r.</w:t>
      </w:r>
    </w:p>
    <w:p>
      <w:pPr>
        <w:pStyle w:val="Normal"/>
        <w:numPr>
          <w:ilvl w:val="1"/>
          <w:numId w:val="3"/>
        </w:numPr>
        <w:rPr/>
      </w:pPr>
      <w:r>
        <w:rPr/>
        <w:t>Opinia Dyrektora Regionalnego Zarządu Gospodarki Wodnej w Warszawie                         nr TC-U-0213-0098-002-2017 z dnia 28.02.2017r.</w:t>
      </w:r>
    </w:p>
    <w:p>
      <w:pPr>
        <w:pStyle w:val="Normal"/>
        <w:numPr>
          <w:ilvl w:val="1"/>
          <w:numId w:val="3"/>
        </w:numPr>
        <w:rPr/>
      </w:pPr>
      <w:r>
        <w:rPr/>
        <w:t>Opinia Dyrektora Regionalnego Zarządu Gospodarki Wodnej w Warszawie                              nr TC-U-0213-0099-002-2017 z dnia 28.02.2017r.</w:t>
      </w:r>
    </w:p>
    <w:p>
      <w:pPr>
        <w:pStyle w:val="Normal"/>
        <w:numPr>
          <w:ilvl w:val="1"/>
          <w:numId w:val="3"/>
        </w:numPr>
        <w:rPr/>
      </w:pPr>
      <w:r>
        <w:rPr/>
        <w:t>Odpis Protokołu nr WGD.IV.6630.63.2017 Dodatkowej Narady Koordynacyjnej z dnia 13.04.2017r.</w:t>
      </w:r>
    </w:p>
    <w:p>
      <w:pPr>
        <w:pStyle w:val="Normal"/>
        <w:numPr>
          <w:ilvl w:val="1"/>
          <w:numId w:val="3"/>
        </w:numPr>
        <w:rPr/>
      </w:pPr>
      <w:r>
        <w:rPr/>
        <w:t>Odpis Protokołu nr GGN-III.GGN-III.633.133.2017 Narady Koordynacyjnej z dnia 29.03.2017r.</w:t>
      </w:r>
    </w:p>
    <w:p>
      <w:pPr>
        <w:pStyle w:val="Normal"/>
        <w:numPr>
          <w:ilvl w:val="1"/>
          <w:numId w:val="3"/>
        </w:numPr>
        <w:rPr/>
      </w:pPr>
      <w:r>
        <w:rPr/>
        <w:t>Zarządzenie Nr 2797/2016 z dnia 13 grudnia 2016 wydanego przez Prezydenta Miasta Płocka w sprawie: Wytycznych do projektowania i realizacji miejskiej sieci kanalizacji deszczowej w zakresie zgodności z polityką planowania infrastruktury na terenie Gminy - Miasto Płock</w:t>
      </w:r>
    </w:p>
    <w:p>
      <w:pPr>
        <w:pStyle w:val="Normal"/>
        <w:numPr>
          <w:ilvl w:val="1"/>
          <w:numId w:val="3"/>
        </w:numPr>
        <w:rPr/>
      </w:pPr>
      <w:r>
        <w:rPr>
          <w:szCs w:val="24"/>
        </w:rPr>
        <w:t>Projekt branży drogowej.</w:t>
      </w:r>
    </w:p>
    <w:p>
      <w:pPr>
        <w:pStyle w:val="Normal"/>
        <w:numPr>
          <w:ilvl w:val="1"/>
          <w:numId w:val="3"/>
        </w:numPr>
        <w:rPr/>
      </w:pPr>
      <w:r>
        <w:rPr>
          <w:szCs w:val="24"/>
        </w:rPr>
        <w:t>Uzgodnienia z Inwestorem i Gestorami sieci.</w:t>
      </w:r>
    </w:p>
    <w:p>
      <w:pPr>
        <w:pStyle w:val="Normal"/>
        <w:numPr>
          <w:ilvl w:val="1"/>
          <w:numId w:val="3"/>
        </w:numPr>
        <w:rPr/>
      </w:pPr>
      <w:r>
        <w:rPr/>
        <w:t>Wytyczne projektowe COBRTI INSTAL.</w:t>
      </w:r>
    </w:p>
    <w:p>
      <w:pPr>
        <w:pStyle w:val="Normal"/>
        <w:numPr>
          <w:ilvl w:val="1"/>
          <w:numId w:val="3"/>
        </w:numPr>
        <w:rPr/>
      </w:pPr>
      <w:r>
        <w:rPr/>
        <w:t>Wytyczne producentów materiałów i urządzeń oraz norm stosowanych w budownictwie.</w:t>
      </w:r>
    </w:p>
    <w:p>
      <w:pPr>
        <w:pStyle w:val="Normal"/>
        <w:numPr>
          <w:ilvl w:val="1"/>
          <w:numId w:val="3"/>
        </w:numPr>
        <w:rPr/>
      </w:pPr>
      <w:r>
        <w:rPr/>
        <w:t>Normy i przepisy z zakresu budownictwa.</w:t>
      </w:r>
    </w:p>
    <w:p>
      <w:pPr>
        <w:pStyle w:val="Nagwek2"/>
        <w:numPr>
          <w:ilvl w:val="0"/>
          <w:numId w:val="2"/>
        </w:numPr>
        <w:rPr/>
      </w:pPr>
      <w:bookmarkStart w:id="7" w:name="_Toc456877296"/>
      <w:bookmarkStart w:id="8" w:name="_Toc388614744"/>
      <w:bookmarkStart w:id="9" w:name="_Toc369786256"/>
      <w:bookmarkEnd w:id="7"/>
      <w:bookmarkEnd w:id="8"/>
      <w:bookmarkEnd w:id="9"/>
      <w:r>
        <w:rPr/>
        <w:t>DANE OGÓLNE I ZAKRES OPRACOWANIA.</w:t>
      </w:r>
    </w:p>
    <w:p>
      <w:pPr>
        <w:pStyle w:val="Normal"/>
        <w:rPr>
          <w:szCs w:val="24"/>
        </w:rPr>
      </w:pPr>
      <w:r>
        <w:rPr>
          <w:szCs w:val="24"/>
        </w:rPr>
      </w:r>
    </w:p>
    <w:p>
      <w:pPr>
        <w:pStyle w:val="Normal"/>
        <w:rPr>
          <w:szCs w:val="24"/>
        </w:rPr>
      </w:pPr>
      <w:r>
        <w:rPr>
          <w:szCs w:val="24"/>
        </w:rPr>
        <w:t>Zadanie dotyczy budowy niezbędnej infrastruktury technicznej w ramach zadania "Budowa Nowej Przemysłowej na odcinku od węzła „Trzepowo” w Płocku do skrzyżowania z drogą powiatową 5205W wraz z uzbrojeniem terenów inwestycyjnych na terenie osiedla „Trzepowo” w Płocku" w zakresie "Budowa Nowej Przemysłowej na odcinku od węzła „Trzepowo” obwodnicy północno – zachodniej miasta Płocka do drogi powiatowej nr 5205W – ETAP 1".</w:t>
      </w:r>
    </w:p>
    <w:p>
      <w:pPr>
        <w:pStyle w:val="Normal"/>
        <w:rPr>
          <w:szCs w:val="24"/>
        </w:rPr>
      </w:pPr>
      <w:r>
        <w:rPr>
          <w:szCs w:val="24"/>
        </w:rPr>
        <w:t>Niniejszy projekt przewiduje budowę sieci branży sanitarnej:</w:t>
      </w:r>
    </w:p>
    <w:p>
      <w:pPr>
        <w:pStyle w:val="Normal"/>
        <w:rPr>
          <w:szCs w:val="24"/>
        </w:rPr>
      </w:pPr>
      <w:r>
        <w:rPr>
          <w:szCs w:val="24"/>
        </w:rPr>
        <w:t>- sieci wodociągowej,</w:t>
      </w:r>
    </w:p>
    <w:p>
      <w:pPr>
        <w:pStyle w:val="Normal"/>
        <w:rPr>
          <w:szCs w:val="24"/>
        </w:rPr>
      </w:pPr>
      <w:r>
        <w:rPr>
          <w:szCs w:val="24"/>
        </w:rPr>
        <w:t>- sieci kanalizacji sanitarnej grawitacyjnej,</w:t>
      </w:r>
    </w:p>
    <w:p>
      <w:pPr>
        <w:pStyle w:val="Normal"/>
        <w:rPr>
          <w:szCs w:val="24"/>
        </w:rPr>
      </w:pPr>
      <w:r>
        <w:rPr>
          <w:szCs w:val="24"/>
        </w:rPr>
        <w:t>- sieci kanalizacji sanitarnej ciśnieniowej,</w:t>
      </w:r>
    </w:p>
    <w:p>
      <w:pPr>
        <w:pStyle w:val="Normal"/>
        <w:rPr>
          <w:szCs w:val="24"/>
        </w:rPr>
      </w:pPr>
      <w:r>
        <w:rPr>
          <w:szCs w:val="24"/>
        </w:rPr>
        <w:t>- sieci kanalizacji deszczowej,</w:t>
      </w:r>
    </w:p>
    <w:p>
      <w:pPr>
        <w:pStyle w:val="Normal"/>
        <w:rPr>
          <w:szCs w:val="24"/>
        </w:rPr>
      </w:pPr>
      <w:r>
        <w:rPr>
          <w:szCs w:val="24"/>
        </w:rPr>
        <w:t>- sieci gazowej,</w:t>
      </w:r>
    </w:p>
    <w:p>
      <w:pPr>
        <w:pStyle w:val="Normal"/>
        <w:rPr/>
      </w:pPr>
      <w:r>
        <w:rPr>
          <w:szCs w:val="24"/>
        </w:rPr>
        <w:t>- sieci ciepłowniczej –</w:t>
      </w:r>
      <w:r>
        <w:rPr>
          <w:color w:val="FF0000"/>
          <w:szCs w:val="24"/>
        </w:rPr>
        <w:t xml:space="preserve"> </w:t>
      </w:r>
      <w:r>
        <w:rPr>
          <w:color w:val="FF0000"/>
          <w:szCs w:val="24"/>
        </w:rPr>
        <w:t>ZAKRES WYŁĄCZONY Z REALIZACJI</w:t>
      </w:r>
    </w:p>
    <w:p>
      <w:pPr>
        <w:pStyle w:val="Normal"/>
        <w:rPr>
          <w:szCs w:val="24"/>
        </w:rPr>
      </w:pPr>
      <w:r>
        <w:rPr>
          <w:szCs w:val="24"/>
        </w:rPr>
      </w:r>
    </w:p>
    <w:p>
      <w:pPr>
        <w:pStyle w:val="Normal"/>
        <w:rPr>
          <w:szCs w:val="24"/>
        </w:rPr>
      </w:pPr>
      <w:r>
        <w:rPr>
          <w:szCs w:val="24"/>
        </w:rPr>
        <w:t>Etap I obejmuje działki:</w:t>
      </w:r>
    </w:p>
    <w:p>
      <w:pPr>
        <w:pStyle w:val="Normal"/>
        <w:spacing w:lineRule="auto" w:line="240"/>
        <w:ind w:hanging="0"/>
        <w:jc w:val="center"/>
        <w:rPr>
          <w:rFonts w:ascii="Arial Narrow" w:hAnsi="Arial Narrow"/>
          <w:sz w:val="24"/>
          <w:szCs w:val="24"/>
          <w:lang w:eastAsia="en-US"/>
        </w:rPr>
      </w:pPr>
      <w:r>
        <w:rPr>
          <w:rFonts w:ascii="Arial Narrow" w:hAnsi="Arial Narrow"/>
          <w:i/>
          <w:sz w:val="24"/>
          <w:szCs w:val="24"/>
          <w:lang w:eastAsia="en-US"/>
        </w:rPr>
        <w:t xml:space="preserve">        </w:t>
      </w:r>
      <w:r>
        <w:rPr>
          <w:rFonts w:ascii="Arial Narrow" w:hAnsi="Arial Narrow"/>
          <w:i/>
          <w:sz w:val="24"/>
          <w:szCs w:val="24"/>
          <w:u w:val="single"/>
          <w:lang w:eastAsia="en-US"/>
        </w:rPr>
        <w:t>Obręb ewidencyjny 26 – Nowe Trzepowo Gmina Stara Biała</w:t>
      </w:r>
      <w:r>
        <w:rPr>
          <w:rFonts w:ascii="Arial Narrow" w:hAnsi="Arial Narrow"/>
          <w:sz w:val="24"/>
          <w:szCs w:val="24"/>
          <w:lang w:eastAsia="en-US"/>
        </w:rPr>
        <w:t>:</w:t>
      </w:r>
    </w:p>
    <w:p>
      <w:pPr>
        <w:pStyle w:val="Normal"/>
        <w:spacing w:lineRule="auto" w:line="240"/>
        <w:ind w:left="709" w:hanging="0"/>
        <w:jc w:val="left"/>
        <w:rPr>
          <w:rFonts w:ascii="Arial Narrow" w:hAnsi="Arial Narrow"/>
          <w:lang w:eastAsia="en-US"/>
        </w:rPr>
      </w:pPr>
      <w:r>
        <w:rPr>
          <w:rFonts w:ascii="Arial Narrow" w:hAnsi="Arial Narrow"/>
          <w:lang w:eastAsia="en-US"/>
        </w:rPr>
        <w:t>dz. nr 80, 108/2 (</w:t>
      </w:r>
      <w:r>
        <w:rPr>
          <w:rFonts w:ascii="Arial Narrow" w:hAnsi="Arial Narrow"/>
          <w:b/>
          <w:lang w:eastAsia="en-US"/>
        </w:rPr>
        <w:t>108/3</w:t>
      </w:r>
      <w:r>
        <w:rPr>
          <w:rFonts w:ascii="Arial Narrow" w:hAnsi="Arial Narrow"/>
          <w:lang w:eastAsia="en-US"/>
        </w:rPr>
        <w:t>,108/4,108/5), 123 (</w:t>
      </w:r>
      <w:r>
        <w:rPr>
          <w:rFonts w:ascii="Arial Narrow" w:hAnsi="Arial Narrow"/>
          <w:b/>
          <w:lang w:eastAsia="en-US"/>
        </w:rPr>
        <w:t>123/1</w:t>
      </w:r>
      <w:r>
        <w:rPr>
          <w:rFonts w:ascii="Arial Narrow" w:hAnsi="Arial Narrow"/>
          <w:lang w:eastAsia="en-US"/>
        </w:rPr>
        <w:t>,123/2,123/3), 107/1, 108/1.</w:t>
      </w:r>
    </w:p>
    <w:p>
      <w:pPr>
        <w:pStyle w:val="Normal"/>
        <w:suppressAutoHyphens w:val="true"/>
        <w:snapToGrid w:val="false"/>
        <w:spacing w:lineRule="auto" w:line="240"/>
        <w:ind w:hanging="0"/>
        <w:jc w:val="center"/>
        <w:rPr>
          <w:rFonts w:ascii="Arial Narrow" w:hAnsi="Arial Narrow"/>
          <w:sz w:val="24"/>
          <w:szCs w:val="24"/>
          <w:lang w:eastAsia="en-US"/>
        </w:rPr>
      </w:pPr>
      <w:r>
        <w:rPr>
          <w:rFonts w:ascii="Arial Narrow" w:hAnsi="Arial Narrow"/>
          <w:i/>
          <w:sz w:val="24"/>
          <w:szCs w:val="24"/>
          <w:u w:val="single"/>
          <w:lang w:eastAsia="en-US"/>
        </w:rPr>
        <w:t>Obręb ewidencyjny 2 – Trzepowo Gmina Miasto Płock</w:t>
      </w:r>
      <w:r>
        <w:rPr>
          <w:rFonts w:ascii="Arial Narrow" w:hAnsi="Arial Narrow"/>
          <w:sz w:val="24"/>
          <w:szCs w:val="24"/>
          <w:lang w:eastAsia="en-US"/>
        </w:rPr>
        <w:t>:</w:t>
      </w:r>
    </w:p>
    <w:p>
      <w:pPr>
        <w:pStyle w:val="Normal"/>
        <w:ind w:left="709" w:hanging="0"/>
        <w:rPr>
          <w:lang w:eastAsia="en-US"/>
        </w:rPr>
      </w:pPr>
      <w:r>
        <w:rPr>
          <w:rFonts w:ascii="Arial Narrow" w:hAnsi="Arial Narrow"/>
          <w:lang w:eastAsia="en-US"/>
        </w:rPr>
        <w:t>dz. nr 21, 22, 24, 25 (</w:t>
      </w:r>
      <w:r>
        <w:rPr>
          <w:rFonts w:ascii="Arial Narrow" w:hAnsi="Arial Narrow"/>
          <w:b/>
          <w:lang w:eastAsia="en-US"/>
        </w:rPr>
        <w:t>25/1</w:t>
      </w:r>
      <w:r>
        <w:rPr>
          <w:rFonts w:ascii="Arial Narrow" w:hAnsi="Arial Narrow"/>
          <w:lang w:eastAsia="en-US"/>
        </w:rPr>
        <w:t>,25/2), 26 (</w:t>
      </w:r>
      <w:r>
        <w:rPr>
          <w:rFonts w:ascii="Arial Narrow" w:hAnsi="Arial Narrow"/>
          <w:b/>
          <w:lang w:eastAsia="en-US"/>
        </w:rPr>
        <w:t>26/1</w:t>
      </w:r>
      <w:r>
        <w:rPr>
          <w:rFonts w:ascii="Arial Narrow" w:hAnsi="Arial Narrow"/>
          <w:lang w:eastAsia="en-US"/>
        </w:rPr>
        <w:t>,26/2), 27/3, 28, 29, 30 (</w:t>
      </w:r>
      <w:r>
        <w:rPr>
          <w:rFonts w:ascii="Arial Narrow" w:hAnsi="Arial Narrow"/>
          <w:b/>
          <w:lang w:eastAsia="en-US"/>
        </w:rPr>
        <w:t>30/1</w:t>
      </w:r>
      <w:r>
        <w:rPr>
          <w:rFonts w:ascii="Arial Narrow" w:hAnsi="Arial Narrow"/>
          <w:lang w:eastAsia="en-US"/>
        </w:rPr>
        <w:t>,30/2,30/3), 65 (</w:t>
      </w:r>
      <w:r>
        <w:rPr>
          <w:rFonts w:ascii="Arial Narrow" w:hAnsi="Arial Narrow"/>
          <w:b/>
          <w:lang w:eastAsia="en-US"/>
        </w:rPr>
        <w:t>65/1</w:t>
      </w:r>
      <w:r>
        <w:rPr>
          <w:rFonts w:ascii="Arial Narrow" w:hAnsi="Arial Narrow"/>
          <w:lang w:eastAsia="en-US"/>
        </w:rPr>
        <w:t>,65/2,65/3), 68 (</w:t>
      </w:r>
      <w:r>
        <w:rPr>
          <w:rFonts w:ascii="Arial Narrow" w:hAnsi="Arial Narrow"/>
          <w:b/>
          <w:lang w:eastAsia="en-US"/>
        </w:rPr>
        <w:t>68/1</w:t>
      </w:r>
      <w:r>
        <w:rPr>
          <w:rFonts w:ascii="Arial Narrow" w:hAnsi="Arial Narrow"/>
          <w:lang w:eastAsia="en-US"/>
        </w:rPr>
        <w:t>,68/2,68/3), 69 (</w:t>
      </w:r>
      <w:r>
        <w:rPr>
          <w:rFonts w:ascii="Arial Narrow" w:hAnsi="Arial Narrow"/>
          <w:b/>
          <w:lang w:eastAsia="en-US"/>
        </w:rPr>
        <w:t>69/1</w:t>
      </w:r>
      <w:r>
        <w:rPr>
          <w:rFonts w:ascii="Arial Narrow" w:hAnsi="Arial Narrow"/>
          <w:lang w:eastAsia="en-US"/>
        </w:rPr>
        <w:t>,69/2), 70 (</w:t>
      </w:r>
      <w:r>
        <w:rPr>
          <w:rFonts w:ascii="Arial Narrow" w:hAnsi="Arial Narrow"/>
          <w:b/>
          <w:lang w:eastAsia="en-US"/>
        </w:rPr>
        <w:t>70/1</w:t>
      </w:r>
      <w:r>
        <w:rPr>
          <w:rFonts w:ascii="Arial Narrow" w:hAnsi="Arial Narrow"/>
          <w:lang w:eastAsia="en-US"/>
        </w:rPr>
        <w:t>,70/2), 71 (</w:t>
      </w:r>
      <w:r>
        <w:rPr>
          <w:rFonts w:ascii="Arial Narrow" w:hAnsi="Arial Narrow"/>
          <w:b/>
          <w:lang w:eastAsia="en-US"/>
        </w:rPr>
        <w:t>71/1</w:t>
      </w:r>
      <w:r>
        <w:rPr>
          <w:rFonts w:ascii="Arial Narrow" w:hAnsi="Arial Narrow"/>
          <w:lang w:eastAsia="en-US"/>
        </w:rPr>
        <w:t>,71/2), 72 (</w:t>
      </w:r>
      <w:r>
        <w:rPr>
          <w:rFonts w:ascii="Arial Narrow" w:hAnsi="Arial Narrow"/>
          <w:b/>
          <w:lang w:eastAsia="en-US"/>
        </w:rPr>
        <w:t>72/1</w:t>
      </w:r>
      <w:r>
        <w:rPr>
          <w:rFonts w:ascii="Arial Narrow" w:hAnsi="Arial Narrow"/>
          <w:lang w:eastAsia="en-US"/>
        </w:rPr>
        <w:t>,72/2,72/3), 73/1 (</w:t>
      </w:r>
      <w:r>
        <w:rPr>
          <w:rFonts w:ascii="Arial Narrow" w:hAnsi="Arial Narrow"/>
          <w:b/>
          <w:lang w:eastAsia="en-US"/>
        </w:rPr>
        <w:t>73/3</w:t>
      </w:r>
      <w:r>
        <w:rPr>
          <w:rFonts w:ascii="Arial Narrow" w:hAnsi="Arial Narrow"/>
          <w:lang w:eastAsia="en-US"/>
        </w:rPr>
        <w:t>,73/4), 74 (</w:t>
      </w:r>
      <w:r>
        <w:rPr>
          <w:rFonts w:ascii="Arial Narrow" w:hAnsi="Arial Narrow"/>
          <w:b/>
          <w:lang w:eastAsia="en-US"/>
        </w:rPr>
        <w:t>74/1</w:t>
      </w:r>
      <w:r>
        <w:rPr>
          <w:rFonts w:ascii="Arial Narrow" w:hAnsi="Arial Narrow"/>
          <w:lang w:eastAsia="en-US"/>
        </w:rPr>
        <w:t>,74/2), 75 (</w:t>
      </w:r>
      <w:r>
        <w:rPr>
          <w:rFonts w:ascii="Arial Narrow" w:hAnsi="Arial Narrow"/>
          <w:b/>
          <w:lang w:eastAsia="en-US"/>
        </w:rPr>
        <w:t>75/1</w:t>
      </w:r>
      <w:r>
        <w:rPr>
          <w:rFonts w:ascii="Arial Narrow" w:hAnsi="Arial Narrow"/>
          <w:lang w:eastAsia="en-US"/>
        </w:rPr>
        <w:t>,75/2), 76 (</w:t>
      </w:r>
      <w:r>
        <w:rPr>
          <w:rFonts w:ascii="Arial Narrow" w:hAnsi="Arial Narrow"/>
          <w:b/>
          <w:lang w:eastAsia="en-US"/>
        </w:rPr>
        <w:t>76/1</w:t>
      </w:r>
      <w:r>
        <w:rPr>
          <w:rFonts w:ascii="Arial Narrow" w:hAnsi="Arial Narrow"/>
          <w:lang w:eastAsia="en-US"/>
        </w:rPr>
        <w:t>,76/2), 77 (</w:t>
      </w:r>
      <w:r>
        <w:rPr>
          <w:rFonts w:ascii="Arial Narrow" w:hAnsi="Arial Narrow"/>
          <w:b/>
          <w:lang w:eastAsia="en-US"/>
        </w:rPr>
        <w:t>77/1</w:t>
      </w:r>
      <w:r>
        <w:rPr>
          <w:rFonts w:ascii="Arial Narrow" w:hAnsi="Arial Narrow"/>
          <w:lang w:eastAsia="en-US"/>
        </w:rPr>
        <w:t>,77/2), 78 (</w:t>
      </w:r>
      <w:r>
        <w:rPr>
          <w:rFonts w:ascii="Arial Narrow" w:hAnsi="Arial Narrow"/>
          <w:b/>
          <w:lang w:eastAsia="en-US"/>
        </w:rPr>
        <w:t>78/1</w:t>
      </w:r>
      <w:r>
        <w:rPr>
          <w:rFonts w:ascii="Arial Narrow" w:hAnsi="Arial Narrow"/>
          <w:lang w:eastAsia="en-US"/>
        </w:rPr>
        <w:t>,78/2), 79 (</w:t>
      </w:r>
      <w:r>
        <w:rPr>
          <w:rFonts w:ascii="Arial Narrow" w:hAnsi="Arial Narrow"/>
          <w:b/>
          <w:lang w:eastAsia="en-US"/>
        </w:rPr>
        <w:t>79/1</w:t>
      </w:r>
      <w:r>
        <w:rPr>
          <w:rFonts w:ascii="Arial Narrow" w:hAnsi="Arial Narrow"/>
          <w:lang w:eastAsia="en-US"/>
        </w:rPr>
        <w:t>,79/2), 80 (</w:t>
      </w:r>
      <w:r>
        <w:rPr>
          <w:rFonts w:ascii="Arial Narrow" w:hAnsi="Arial Narrow"/>
          <w:b/>
          <w:lang w:eastAsia="en-US"/>
        </w:rPr>
        <w:t>80/1</w:t>
      </w:r>
      <w:r>
        <w:rPr>
          <w:rFonts w:ascii="Arial Narrow" w:hAnsi="Arial Narrow"/>
          <w:lang w:eastAsia="en-US"/>
        </w:rPr>
        <w:t>,80/2), 81 (</w:t>
      </w:r>
      <w:r>
        <w:rPr>
          <w:rFonts w:ascii="Arial Narrow" w:hAnsi="Arial Narrow"/>
          <w:b/>
          <w:lang w:eastAsia="en-US"/>
        </w:rPr>
        <w:t>81/1</w:t>
      </w:r>
      <w:r>
        <w:rPr>
          <w:rFonts w:ascii="Arial Narrow" w:hAnsi="Arial Narrow"/>
          <w:lang w:eastAsia="en-US"/>
        </w:rPr>
        <w:t>,81/2), 84 (</w:t>
      </w:r>
      <w:r>
        <w:rPr>
          <w:rFonts w:ascii="Arial Narrow" w:hAnsi="Arial Narrow"/>
          <w:b/>
          <w:lang w:eastAsia="en-US"/>
        </w:rPr>
        <w:t>84/1</w:t>
      </w:r>
      <w:r>
        <w:rPr>
          <w:rFonts w:ascii="Arial Narrow" w:hAnsi="Arial Narrow"/>
          <w:lang w:eastAsia="en-US"/>
        </w:rPr>
        <w:t>,84/2), 120, 151, 152 (</w:t>
      </w:r>
      <w:r>
        <w:rPr>
          <w:rFonts w:ascii="Arial Narrow" w:hAnsi="Arial Narrow"/>
          <w:b/>
          <w:lang w:eastAsia="en-US"/>
        </w:rPr>
        <w:t>152/1</w:t>
      </w:r>
      <w:r>
        <w:rPr>
          <w:rFonts w:ascii="Arial Narrow" w:hAnsi="Arial Narrow"/>
          <w:lang w:eastAsia="en-US"/>
        </w:rPr>
        <w:t>,152/2), 153 (</w:t>
      </w:r>
      <w:r>
        <w:rPr>
          <w:rFonts w:ascii="Arial Narrow" w:hAnsi="Arial Narrow"/>
          <w:b/>
          <w:lang w:eastAsia="en-US"/>
        </w:rPr>
        <w:t>153/1</w:t>
      </w:r>
      <w:r>
        <w:rPr>
          <w:rFonts w:ascii="Arial Narrow" w:hAnsi="Arial Narrow"/>
          <w:lang w:eastAsia="en-US"/>
        </w:rPr>
        <w:t xml:space="preserve">,153/2), </w:t>
      </w:r>
      <w:r>
        <w:rPr>
          <w:rFonts w:ascii="Arial Narrow" w:hAnsi="Arial Narrow"/>
          <w:b/>
          <w:lang w:eastAsia="en-US"/>
        </w:rPr>
        <w:t>154</w:t>
      </w:r>
      <w:r>
        <w:rPr>
          <w:rFonts w:ascii="Arial Narrow" w:hAnsi="Arial Narrow"/>
          <w:lang w:eastAsia="en-US"/>
        </w:rPr>
        <w:t>, 159, 161 (</w:t>
      </w:r>
      <w:r>
        <w:rPr>
          <w:rFonts w:ascii="Arial Narrow" w:hAnsi="Arial Narrow"/>
          <w:b/>
          <w:lang w:eastAsia="en-US"/>
        </w:rPr>
        <w:t>161/1</w:t>
      </w:r>
      <w:r>
        <w:rPr>
          <w:rFonts w:ascii="Arial Narrow" w:hAnsi="Arial Narrow"/>
          <w:lang w:eastAsia="en-US"/>
        </w:rPr>
        <w:t>,161/2), 162 (162/1,</w:t>
      </w:r>
      <w:r>
        <w:rPr>
          <w:rFonts w:ascii="Arial Narrow" w:hAnsi="Arial Narrow"/>
          <w:b/>
          <w:lang w:eastAsia="en-US"/>
        </w:rPr>
        <w:t>162/2</w:t>
      </w:r>
      <w:r>
        <w:rPr>
          <w:rFonts w:ascii="Arial Narrow" w:hAnsi="Arial Narrow"/>
          <w:lang w:eastAsia="en-US"/>
        </w:rPr>
        <w:t>,162/3,</w:t>
      </w:r>
      <w:r>
        <w:rPr>
          <w:rFonts w:ascii="Arial Narrow" w:hAnsi="Arial Narrow"/>
          <w:b/>
          <w:lang w:eastAsia="en-US"/>
        </w:rPr>
        <w:t>162/4,</w:t>
      </w:r>
      <w:r>
        <w:rPr>
          <w:rFonts w:ascii="Arial Narrow" w:hAnsi="Arial Narrow"/>
          <w:lang w:eastAsia="en-US"/>
        </w:rPr>
        <w:t>162/5), 163 (</w:t>
      </w:r>
      <w:r>
        <w:rPr>
          <w:rFonts w:ascii="Arial Narrow" w:hAnsi="Arial Narrow"/>
          <w:b/>
          <w:lang w:eastAsia="en-US"/>
        </w:rPr>
        <w:t>163/1,163/2</w:t>
      </w:r>
      <w:r>
        <w:rPr>
          <w:rFonts w:ascii="Arial Narrow" w:hAnsi="Arial Narrow"/>
          <w:lang w:eastAsia="en-US"/>
        </w:rPr>
        <w:t>,163/3,163/4), 164 (</w:t>
      </w:r>
      <w:r>
        <w:rPr>
          <w:rFonts w:ascii="Arial Narrow" w:hAnsi="Arial Narrow"/>
          <w:b/>
          <w:lang w:eastAsia="en-US"/>
        </w:rPr>
        <w:t>164/1</w:t>
      </w:r>
      <w:r>
        <w:rPr>
          <w:rFonts w:ascii="Arial Narrow" w:hAnsi="Arial Narrow"/>
          <w:lang w:eastAsia="en-US"/>
        </w:rPr>
        <w:t>,164/2,164/3),165 (</w:t>
      </w:r>
      <w:r>
        <w:rPr>
          <w:rFonts w:ascii="Arial Narrow" w:hAnsi="Arial Narrow"/>
          <w:b/>
          <w:lang w:eastAsia="en-US"/>
        </w:rPr>
        <w:t>165/1</w:t>
      </w:r>
      <w:r>
        <w:rPr>
          <w:rFonts w:ascii="Arial Narrow" w:hAnsi="Arial Narrow"/>
          <w:lang w:eastAsia="en-US"/>
        </w:rPr>
        <w:t>,165/2,165/3), 166 (</w:t>
      </w:r>
      <w:r>
        <w:rPr>
          <w:rFonts w:ascii="Arial Narrow" w:hAnsi="Arial Narrow"/>
          <w:b/>
          <w:lang w:eastAsia="en-US"/>
        </w:rPr>
        <w:t>166/1</w:t>
      </w:r>
      <w:r>
        <w:rPr>
          <w:rFonts w:ascii="Arial Narrow" w:hAnsi="Arial Narrow"/>
          <w:lang w:eastAsia="en-US"/>
        </w:rPr>
        <w:t>,166/2,166/3), 167 (</w:t>
      </w:r>
      <w:r>
        <w:rPr>
          <w:rFonts w:ascii="Arial Narrow" w:hAnsi="Arial Narrow"/>
          <w:b/>
          <w:lang w:eastAsia="en-US"/>
        </w:rPr>
        <w:t>167/1</w:t>
      </w:r>
      <w:r>
        <w:rPr>
          <w:rFonts w:ascii="Arial Narrow" w:hAnsi="Arial Narrow"/>
          <w:lang w:eastAsia="en-US"/>
        </w:rPr>
        <w:t>,167/2,167/3), 169 (</w:t>
      </w:r>
      <w:r>
        <w:rPr>
          <w:rFonts w:ascii="Arial Narrow" w:hAnsi="Arial Narrow"/>
          <w:b/>
          <w:lang w:eastAsia="en-US"/>
        </w:rPr>
        <w:t>169/1</w:t>
      </w:r>
      <w:r>
        <w:rPr>
          <w:rFonts w:ascii="Arial Narrow" w:hAnsi="Arial Narrow"/>
          <w:lang w:eastAsia="en-US"/>
        </w:rPr>
        <w:t>,169/2,169/3), 170, 171 (</w:t>
      </w:r>
      <w:r>
        <w:rPr>
          <w:rFonts w:ascii="Arial Narrow" w:hAnsi="Arial Narrow"/>
          <w:b/>
          <w:lang w:eastAsia="en-US"/>
        </w:rPr>
        <w:t>171/1,171/2</w:t>
      </w:r>
      <w:r>
        <w:rPr>
          <w:rFonts w:ascii="Arial Narrow" w:hAnsi="Arial Narrow"/>
          <w:lang w:eastAsia="en-US"/>
        </w:rPr>
        <w:t>,171/3), 184, 185 (</w:t>
      </w:r>
      <w:r>
        <w:rPr>
          <w:rFonts w:ascii="Arial Narrow" w:hAnsi="Arial Narrow"/>
          <w:b/>
          <w:lang w:eastAsia="en-US"/>
        </w:rPr>
        <w:t>185/1</w:t>
      </w:r>
      <w:r>
        <w:rPr>
          <w:rFonts w:ascii="Arial Narrow" w:hAnsi="Arial Narrow"/>
          <w:lang w:eastAsia="en-US"/>
        </w:rPr>
        <w:t>,185/2), 191, 192, 193 (</w:t>
      </w:r>
      <w:r>
        <w:rPr>
          <w:rFonts w:ascii="Arial Narrow" w:hAnsi="Arial Narrow"/>
          <w:b/>
          <w:lang w:eastAsia="en-US"/>
        </w:rPr>
        <w:t>193/1</w:t>
      </w:r>
      <w:r>
        <w:rPr>
          <w:rFonts w:ascii="Arial Narrow" w:hAnsi="Arial Narrow"/>
          <w:lang w:eastAsia="en-US"/>
        </w:rPr>
        <w:t>,193/2), 194 (</w:t>
      </w:r>
      <w:r>
        <w:rPr>
          <w:rFonts w:ascii="Arial Narrow" w:hAnsi="Arial Narrow"/>
          <w:b/>
          <w:lang w:eastAsia="en-US"/>
        </w:rPr>
        <w:t>194/1</w:t>
      </w:r>
      <w:r>
        <w:rPr>
          <w:rFonts w:ascii="Arial Narrow" w:hAnsi="Arial Narrow"/>
          <w:lang w:eastAsia="en-US"/>
        </w:rPr>
        <w:t>,194/2,</w:t>
      </w:r>
      <w:r>
        <w:rPr>
          <w:rFonts w:ascii="Arial Narrow" w:hAnsi="Arial Narrow"/>
          <w:b/>
          <w:lang w:eastAsia="en-US"/>
        </w:rPr>
        <w:t>194/3</w:t>
      </w:r>
      <w:r>
        <w:rPr>
          <w:rFonts w:ascii="Arial Narrow" w:hAnsi="Arial Narrow"/>
          <w:lang w:eastAsia="en-US"/>
        </w:rPr>
        <w:t>,194/4), 195 (</w:t>
      </w:r>
      <w:r>
        <w:rPr>
          <w:rFonts w:ascii="Arial Narrow" w:hAnsi="Arial Narrow"/>
          <w:b/>
          <w:lang w:eastAsia="en-US"/>
        </w:rPr>
        <w:t>195/1</w:t>
      </w:r>
      <w:r>
        <w:rPr>
          <w:rFonts w:ascii="Arial Narrow" w:hAnsi="Arial Narrow"/>
          <w:lang w:eastAsia="en-US"/>
        </w:rPr>
        <w:t>,195/2,195/3), 202/11, 203 (</w:t>
      </w:r>
      <w:r>
        <w:rPr>
          <w:rFonts w:ascii="Arial Narrow" w:hAnsi="Arial Narrow"/>
          <w:b/>
          <w:lang w:eastAsia="en-US"/>
        </w:rPr>
        <w:t>203/1</w:t>
      </w:r>
      <w:r>
        <w:rPr>
          <w:rFonts w:ascii="Arial Narrow" w:hAnsi="Arial Narrow"/>
          <w:lang w:eastAsia="en-US"/>
        </w:rPr>
        <w:t>, 203/2), 205/1 (</w:t>
      </w:r>
      <w:r>
        <w:rPr>
          <w:rFonts w:ascii="Arial Narrow" w:hAnsi="Arial Narrow"/>
          <w:b/>
          <w:lang w:eastAsia="en-US"/>
        </w:rPr>
        <w:t>205/3</w:t>
      </w:r>
      <w:r>
        <w:rPr>
          <w:rFonts w:ascii="Arial Narrow" w:hAnsi="Arial Narrow"/>
          <w:lang w:eastAsia="en-US"/>
        </w:rPr>
        <w:t>, 205/4), 206(</w:t>
      </w:r>
      <w:r>
        <w:rPr>
          <w:rFonts w:ascii="Arial Narrow" w:hAnsi="Arial Narrow"/>
          <w:b/>
          <w:lang w:eastAsia="en-US"/>
        </w:rPr>
        <w:t>206/1</w:t>
      </w:r>
      <w:r>
        <w:rPr>
          <w:rFonts w:ascii="Arial Narrow" w:hAnsi="Arial Narrow"/>
          <w:lang w:eastAsia="en-US"/>
        </w:rPr>
        <w:t>, 206/2), 207 (</w:t>
      </w:r>
      <w:r>
        <w:rPr>
          <w:rFonts w:ascii="Arial Narrow" w:hAnsi="Arial Narrow"/>
          <w:b/>
          <w:lang w:eastAsia="en-US"/>
        </w:rPr>
        <w:t>207/1</w:t>
      </w:r>
      <w:r>
        <w:rPr>
          <w:rFonts w:ascii="Arial Narrow" w:hAnsi="Arial Narrow"/>
          <w:lang w:eastAsia="en-US"/>
        </w:rPr>
        <w:t>, 207/2, 207/3), 208 (</w:t>
      </w:r>
      <w:r>
        <w:rPr>
          <w:rFonts w:ascii="Arial Narrow" w:hAnsi="Arial Narrow"/>
          <w:b/>
          <w:lang w:eastAsia="en-US"/>
        </w:rPr>
        <w:t>208/1</w:t>
      </w:r>
      <w:r>
        <w:rPr>
          <w:rFonts w:ascii="Arial Narrow" w:hAnsi="Arial Narrow"/>
          <w:lang w:eastAsia="en-US"/>
        </w:rPr>
        <w:t>, 208/2, 208/3).</w:t>
      </w:r>
    </w:p>
    <w:p>
      <w:pPr>
        <w:pStyle w:val="Normal"/>
        <w:rPr>
          <w:lang w:eastAsia="en-US"/>
        </w:rPr>
      </w:pPr>
      <w:r>
        <w:rPr>
          <w:lang w:eastAsia="en-US"/>
        </w:rPr>
        <w:t>W zakres opracowania Etapu I wchodzą:</w:t>
      </w:r>
    </w:p>
    <w:p>
      <w:pPr>
        <w:pStyle w:val="Normal"/>
        <w:numPr>
          <w:ilvl w:val="0"/>
          <w:numId w:val="4"/>
        </w:numPr>
        <w:tabs>
          <w:tab w:val="left" w:pos="1134" w:leader="none"/>
        </w:tabs>
        <w:suppressAutoHyphens w:val="true"/>
        <w:ind w:left="426" w:hanging="0"/>
        <w:rPr/>
      </w:pPr>
      <w:r>
        <w:rPr/>
        <w:t>budowa sieci kanalizacji deszczowej;</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1200 PE/PP strukturalne SN8 – 244,00m;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1000 PE/PP strukturalne SN8 – 284,00m;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800 PE/PP strukturalne SN8 – 285,00m;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600 PE/PP strukturalne SN8 – 150,00m;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500 PE/PP strukturalne SN8 – 378,00m;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400 PP lite min. SN8 – 917,00m;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315 PP lite min.  SN8 – 505,00m;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250 PP lite min.  SN8– 243,00m;</w:t>
      </w:r>
    </w:p>
    <w:p>
      <w:pPr>
        <w:pStyle w:val="Normal"/>
        <w:tabs>
          <w:tab w:val="left" w:pos="1134" w:leader="none"/>
        </w:tabs>
        <w:rPr>
          <w:rFonts w:ascii="Arial Narrow" w:hAnsi="Arial Narrow" w:cs="Tahoma"/>
        </w:rPr>
      </w:pPr>
      <w:r>
        <w:rPr>
          <w:rFonts w:cs="Tahoma" w:ascii="Arial Narrow" w:hAnsi="Arial Narrow"/>
        </w:rPr>
        <w:tab/>
        <w:t>Przykanaliki do wpustów deszczowych:</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Dz200 PP lite min.  SN8 – 698,00m;</w:t>
      </w:r>
    </w:p>
    <w:p>
      <w:pPr>
        <w:pStyle w:val="Normal"/>
        <w:numPr>
          <w:ilvl w:val="0"/>
          <w:numId w:val="4"/>
        </w:numPr>
        <w:tabs>
          <w:tab w:val="left" w:pos="1134" w:leader="none"/>
        </w:tabs>
        <w:suppressAutoHyphens w:val="true"/>
        <w:ind w:left="426" w:hanging="0"/>
        <w:rPr/>
      </w:pPr>
      <w:r>
        <w:rPr/>
        <w:t>budowa sieci kanalizacji sanitarnej;</w:t>
      </w:r>
    </w:p>
    <w:p>
      <w:pPr>
        <w:pStyle w:val="Normal"/>
        <w:numPr>
          <w:ilvl w:val="1"/>
          <w:numId w:val="5"/>
        </w:numPr>
        <w:tabs>
          <w:tab w:val="left" w:pos="1134" w:leader="none"/>
        </w:tabs>
        <w:suppressAutoHyphens w:val="true"/>
        <w:ind w:left="1985" w:hanging="851"/>
        <w:rPr>
          <w:rFonts w:ascii="Arial Narrow" w:hAnsi="Arial Narrow" w:cs="Tahoma"/>
          <w:lang w:val="nb-NO"/>
        </w:rPr>
      </w:pPr>
      <w:r>
        <w:rPr>
          <w:rFonts w:cs="Tahoma" w:ascii="Arial Narrow" w:hAnsi="Arial Narrow"/>
          <w:lang w:val="nb-NO"/>
        </w:rPr>
        <w:t>Dz 400 PP lite SN10 – 19,00m;</w:t>
      </w:r>
    </w:p>
    <w:p>
      <w:pPr>
        <w:pStyle w:val="Normal"/>
        <w:numPr>
          <w:ilvl w:val="1"/>
          <w:numId w:val="5"/>
        </w:numPr>
        <w:tabs>
          <w:tab w:val="left" w:pos="1134" w:leader="none"/>
        </w:tabs>
        <w:suppressAutoHyphens w:val="true"/>
        <w:ind w:left="1985" w:hanging="851"/>
        <w:rPr>
          <w:rFonts w:ascii="Arial Narrow" w:hAnsi="Arial Narrow" w:cs="Tahoma"/>
          <w:lang w:val="nb-NO"/>
        </w:rPr>
      </w:pPr>
      <w:r>
        <w:rPr>
          <w:rFonts w:cs="Tahoma" w:ascii="Arial Narrow" w:hAnsi="Arial Narrow"/>
          <w:lang w:val="nb-NO"/>
        </w:rPr>
        <w:t>Dz 315 PP lite SN10 – 1 483,00m;</w:t>
      </w:r>
    </w:p>
    <w:p>
      <w:pPr>
        <w:pStyle w:val="Normal"/>
        <w:numPr>
          <w:ilvl w:val="1"/>
          <w:numId w:val="5"/>
        </w:numPr>
        <w:tabs>
          <w:tab w:val="left" w:pos="1134" w:leader="none"/>
        </w:tabs>
        <w:suppressAutoHyphens w:val="true"/>
        <w:ind w:left="1985" w:hanging="851"/>
        <w:rPr>
          <w:rFonts w:ascii="Arial Narrow" w:hAnsi="Arial Narrow" w:cs="Tahoma"/>
          <w:lang w:val="nb-NO"/>
        </w:rPr>
      </w:pPr>
      <w:r>
        <w:rPr>
          <w:rFonts w:cs="Tahoma" w:ascii="Arial Narrow" w:hAnsi="Arial Narrow"/>
          <w:lang w:val="nb-NO"/>
        </w:rPr>
        <w:t>Dz 250 PP lite SN10 – 558,00m;</w:t>
      </w:r>
    </w:p>
    <w:p>
      <w:pPr>
        <w:pStyle w:val="Normal"/>
        <w:numPr>
          <w:ilvl w:val="0"/>
          <w:numId w:val="4"/>
        </w:numPr>
        <w:tabs>
          <w:tab w:val="left" w:pos="1134" w:leader="none"/>
        </w:tabs>
        <w:suppressAutoHyphens w:val="true"/>
        <w:ind w:left="426" w:hanging="0"/>
        <w:rPr/>
      </w:pPr>
      <w:r>
        <w:rPr/>
        <w:t>budowa sieci kanalizacji sanitarnej ciśnieniowej;</w:t>
      </w:r>
    </w:p>
    <w:p>
      <w:pPr>
        <w:pStyle w:val="Normal"/>
        <w:numPr>
          <w:ilvl w:val="1"/>
          <w:numId w:val="5"/>
        </w:numPr>
        <w:tabs>
          <w:tab w:val="left" w:pos="1134" w:leader="none"/>
        </w:tabs>
        <w:suppressAutoHyphens w:val="true"/>
        <w:ind w:left="1985" w:hanging="851"/>
        <w:rPr>
          <w:rFonts w:ascii="Arial Narrow" w:hAnsi="Arial Narrow" w:cs="Tahoma"/>
          <w:lang w:val="nb-NO"/>
        </w:rPr>
      </w:pPr>
      <w:r>
        <w:rPr>
          <w:rFonts w:cs="Tahoma" w:ascii="Arial Narrow" w:hAnsi="Arial Narrow"/>
          <w:lang w:val="nb-NO"/>
        </w:rPr>
        <w:t>Dz 200 PE100 SDR17 PN10 – 327,00m;</w:t>
      </w:r>
    </w:p>
    <w:p>
      <w:pPr>
        <w:pStyle w:val="Normal"/>
        <w:numPr>
          <w:ilvl w:val="0"/>
          <w:numId w:val="4"/>
        </w:numPr>
        <w:tabs>
          <w:tab w:val="left" w:pos="1134" w:leader="none"/>
        </w:tabs>
        <w:suppressAutoHyphens w:val="true"/>
        <w:ind w:left="426" w:hanging="0"/>
        <w:rPr/>
      </w:pPr>
      <w:r>
        <w:rPr/>
        <w:t>budowa sieci wodociągowej;</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250 żeliwo sferoidalne PN 10 – 1 500,50m;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225 PE 100 RC, SDR 17 (PN10) – 227,00m;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160 PE 100 RC, SDR 17 (PN10) – 247,00m;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110 PE 100 RC, SDR 17 (PN10) – 642,00m;</w:t>
      </w:r>
    </w:p>
    <w:p>
      <w:pPr>
        <w:pStyle w:val="Normal"/>
        <w:numPr>
          <w:ilvl w:val="0"/>
          <w:numId w:val="4"/>
        </w:numPr>
        <w:tabs>
          <w:tab w:val="left" w:pos="1134" w:leader="none"/>
        </w:tabs>
        <w:suppressAutoHyphens w:val="true"/>
        <w:ind w:left="426" w:hanging="0"/>
        <w:rPr/>
      </w:pPr>
      <w:r>
        <w:rPr/>
        <w:t>budowa sieci gazowej;</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125 PE 100  RC (typ 2) SDR11– 1 491,00m;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110 PE 100  RC (typ 2) SDR11– 224,0m;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90   PE 100  RC (typ 2) SDR11– 681,00m;</w:t>
      </w:r>
    </w:p>
    <w:p>
      <w:pPr>
        <w:pStyle w:val="Normal"/>
        <w:numPr>
          <w:ilvl w:val="0"/>
          <w:numId w:val="4"/>
        </w:numPr>
        <w:tabs>
          <w:tab w:val="left" w:pos="1134" w:leader="none"/>
        </w:tabs>
        <w:suppressAutoHyphens w:val="true"/>
        <w:ind w:left="426" w:hanging="0"/>
        <w:rPr/>
      </w:pPr>
      <w:r>
        <w:rPr/>
        <w:t>budowa sieci ciepłowniczej;</w:t>
      </w:r>
      <w:r>
        <w:rPr>
          <w:color w:val="FF0000"/>
        </w:rPr>
        <w:t xml:space="preserve"> - </w:t>
      </w:r>
      <w:r>
        <w:rPr>
          <w:color w:val="FF0000"/>
        </w:rPr>
        <w:t>ZAKRES WYŁĄCZONY Z REALIZACJI</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Dz355,6/500mm – 419,00m;</w:t>
        <w:tab/>
        <w:tab/>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Dz273,0/400mm – 1 038,00m;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Dz168,3/250mm – 412,00m;</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Dz139,7/225mm – 505,00m.</w:t>
      </w:r>
    </w:p>
    <w:p>
      <w:pPr>
        <w:pStyle w:val="Normal"/>
        <w:numPr>
          <w:ilvl w:val="0"/>
          <w:numId w:val="4"/>
        </w:numPr>
        <w:tabs>
          <w:tab w:val="left" w:pos="1134" w:leader="none"/>
        </w:tabs>
        <w:suppressAutoHyphens w:val="true"/>
        <w:ind w:left="426" w:hanging="0"/>
        <w:rPr/>
      </w:pPr>
      <w:r>
        <w:rPr/>
        <w:t>likwidacja sieci wodociągowej;</w:t>
      </w:r>
    </w:p>
    <w:p>
      <w:pPr>
        <w:pStyle w:val="Normal"/>
        <w:numPr>
          <w:ilvl w:val="1"/>
          <w:numId w:val="5"/>
        </w:numPr>
        <w:tabs>
          <w:tab w:val="left" w:pos="1134" w:leader="none"/>
        </w:tabs>
        <w:suppressAutoHyphens w:val="true"/>
        <w:ind w:left="1985" w:hanging="851"/>
        <w:rPr>
          <w:rFonts w:ascii="Arial Narrow" w:hAnsi="Arial Narrow" w:cs="Tahoma"/>
        </w:rPr>
      </w:pPr>
      <w:r>
        <w:rPr>
          <w:rFonts w:cs="Tahoma" w:ascii="Arial Narrow" w:hAnsi="Arial Narrow"/>
        </w:rPr>
        <w:t>Dz 110 – 237m;</w:t>
      </w:r>
    </w:p>
    <w:p>
      <w:pPr>
        <w:pStyle w:val="Normal"/>
        <w:rPr>
          <w:highlight w:val="yellow"/>
        </w:rPr>
      </w:pPr>
      <w:r>
        <w:rPr>
          <w:highlight w:val="yellow"/>
        </w:rPr>
      </w:r>
    </w:p>
    <w:p>
      <w:pPr>
        <w:pStyle w:val="Nagwek2"/>
        <w:numPr>
          <w:ilvl w:val="0"/>
          <w:numId w:val="2"/>
        </w:numPr>
        <w:rPr/>
      </w:pPr>
      <w:bookmarkStart w:id="10" w:name="_Toc456877297"/>
      <w:bookmarkStart w:id="11" w:name="_Toc388614745"/>
      <w:bookmarkEnd w:id="10"/>
      <w:bookmarkEnd w:id="11"/>
      <w:r>
        <w:rPr/>
        <w:t>ZAGOSPODAROWANIE TERENU.</w:t>
      </w:r>
    </w:p>
    <w:p>
      <w:pPr>
        <w:pStyle w:val="Normal"/>
        <w:rPr/>
      </w:pPr>
      <w:r>
        <w:rPr/>
      </w:r>
    </w:p>
    <w:p>
      <w:pPr>
        <w:pStyle w:val="Normal"/>
        <w:ind w:hanging="0"/>
        <w:rPr>
          <w:u w:val="single"/>
        </w:rPr>
      </w:pPr>
      <w:r>
        <w:rPr>
          <w:u w:val="single"/>
        </w:rPr>
        <w:t>Stan istniejący.</w:t>
      </w:r>
    </w:p>
    <w:p>
      <w:pPr>
        <w:pStyle w:val="Normal"/>
        <w:ind w:hanging="0"/>
        <w:rPr>
          <w:u w:val="single"/>
        </w:rPr>
      </w:pPr>
      <w:r>
        <w:rPr>
          <w:u w:val="single"/>
        </w:rPr>
      </w:r>
    </w:p>
    <w:p>
      <w:pPr>
        <w:pStyle w:val="Normal"/>
        <w:rPr>
          <w:szCs w:val="24"/>
        </w:rPr>
      </w:pPr>
      <w:r>
        <w:rPr/>
        <w:t>Przedmiotowy teren stanowi obszar słabo zurbanizowany. Większą część terenu stanowią pola uprawne, na terenie występują nieliczne zabudowania oraz drogi gruntowe. Brak jest infrastruktury technicznej podziemnej, występują linie energetyczne napowietrzne. Od wschodu i południa przedmiotowy teren ograniczony jest rzeką Brzeźnica. Od północy teren objęty opracowaniem ograniczony jest drogą powiatową</w:t>
      </w:r>
      <w:r>
        <w:rPr>
          <w:szCs w:val="24"/>
        </w:rPr>
        <w:t xml:space="preserve"> nr 5205W leżącą na terenie gminy Stara Biała.</w:t>
      </w:r>
    </w:p>
    <w:p>
      <w:pPr>
        <w:pStyle w:val="Normal"/>
        <w:rPr/>
      </w:pPr>
      <w:r>
        <w:rPr/>
      </w:r>
    </w:p>
    <w:p>
      <w:pPr>
        <w:pStyle w:val="Normal"/>
        <w:ind w:hanging="0"/>
        <w:rPr>
          <w:u w:val="single"/>
        </w:rPr>
      </w:pPr>
      <w:r>
        <w:rPr>
          <w:u w:val="single"/>
        </w:rPr>
        <w:t>Stan projektowany.</w:t>
      </w:r>
    </w:p>
    <w:p>
      <w:pPr>
        <w:pStyle w:val="Normal"/>
        <w:rPr>
          <w:szCs w:val="24"/>
        </w:rPr>
      </w:pPr>
      <w:r>
        <w:rPr/>
        <w:t xml:space="preserve">Na przedmiotowym terenie planowana jest budowa strefy przemysłowej. W tym celu projektuje się infrastrukturę drogową (wg projektu branży drogowej), przebudowę linii SN i NN, budowę oświetlenia dróg (wg projektu branży elektrycznej) oraz komplet sieci sanitarnych, sieci gazowej i ciepłociągowej. Z uwagi na planowane połączenie drogi powiatowej </w:t>
      </w:r>
      <w:r>
        <w:rPr>
          <w:szCs w:val="24"/>
        </w:rPr>
        <w:t>nr 5205W z projektowaną drogą konieczna będzie likwidacja części wodociągu na terenie gminy Stara Biała oraz jego odbudowa w zmienionej lokalizacji.</w:t>
      </w:r>
    </w:p>
    <w:p>
      <w:pPr>
        <w:pStyle w:val="Normal"/>
        <w:rPr>
          <w:szCs w:val="24"/>
        </w:rPr>
      </w:pPr>
      <w:r>
        <w:rPr>
          <w:szCs w:val="24"/>
        </w:rPr>
        <w:t>Projektowana sieć wodociągowa, kanalizacji sanitarnej, gazowa i cieplna wymagały będą przyszłościowego podłączenia do istniejącej infrastruktury zlokalizowanej na terenach przyległych do terenu objętego opracowaniem. Podłączenie projektowanej infrastruktury do sieci istniejących stanowi warunek prawidłowego działania oraz eksploatacji projektowanych sieci. Przyłączenie projektowanych sieci do istniejącej infrastruktury poza zakresem niniejszego opracowania.</w:t>
      </w:r>
    </w:p>
    <w:p>
      <w:pPr>
        <w:pStyle w:val="Normal"/>
        <w:rPr/>
      </w:pPr>
      <w:r>
        <w:rPr>
          <w:szCs w:val="24"/>
        </w:rPr>
        <w:t>Przedmiotowe sieci szczegółowo wg poszczególnych opisów i rysunków.</w:t>
      </w:r>
    </w:p>
    <w:p>
      <w:pPr>
        <w:pStyle w:val="Normal"/>
        <w:rPr/>
      </w:pPr>
      <w:r>
        <w:rPr/>
      </w:r>
    </w:p>
    <w:p>
      <w:pPr>
        <w:pStyle w:val="Nagwek2"/>
        <w:numPr>
          <w:ilvl w:val="0"/>
          <w:numId w:val="2"/>
        </w:numPr>
        <w:rPr/>
      </w:pPr>
      <w:bookmarkStart w:id="12" w:name="_Toc456877298"/>
      <w:bookmarkStart w:id="13" w:name="_Toc388614746"/>
      <w:bookmarkEnd w:id="12"/>
      <w:bookmarkEnd w:id="13"/>
      <w:r>
        <w:rPr/>
        <w:t>WARUNKI GRUNTOWO - WODNE.</w:t>
      </w:r>
    </w:p>
    <w:p>
      <w:pPr>
        <w:pStyle w:val="Normal"/>
        <w:rPr>
          <w:sz w:val="20"/>
          <w:highlight w:val="yellow"/>
        </w:rPr>
      </w:pPr>
      <w:r>
        <w:rPr>
          <w:sz w:val="20"/>
          <w:highlight w:val="yellow"/>
        </w:rPr>
      </w:r>
    </w:p>
    <w:p>
      <w:pPr>
        <w:pStyle w:val="Normal"/>
        <w:rPr/>
      </w:pPr>
      <w:r>
        <w:rPr/>
        <w:t xml:space="preserve">Pod względem geomorfologicznym dokumentowany teren obejmuje fragment płaskiej wysoczyzny lodowcowej w obrębie Pojezierza Dobrzyńskiego. Wschodnia część terenu znajduje się w strefie przyległej do doliny rzeki Brzeźnicy. Powierzchnia terenu w rejonie projektowanej zabudowy układa się w przewadze rzędnych 100 - 102 m n.p.m. obniżając się w sąsiedztwie doliny do rzędnej 97 m n.p.t. i wznosząc do 104-107 m n.p.t. w rejonie ulicy Sierpeckiej. </w:t>
      </w:r>
    </w:p>
    <w:p>
      <w:pPr>
        <w:pStyle w:val="Normal"/>
        <w:rPr/>
      </w:pPr>
      <w:r>
        <w:rPr/>
        <w:t>Podłoże terenu badań w przypowierzchniowej strefie głębokości objętej wykonanymi badaniami budują osady czwartorzędu (plejstocenu i holocenu).</w:t>
      </w:r>
    </w:p>
    <w:p>
      <w:pPr>
        <w:pStyle w:val="Normal"/>
        <w:rPr/>
      </w:pPr>
      <w:r>
        <w:rPr/>
        <w:t>Na przedmiotowym terenie zaobserwowano występowanie zwierciadła wód podziemnych, związanego z warstwą wolnolodowcowych piasków i piaszczystych przewarstwień w obrębie glin zwałowych. Zwierciadło tego poziomu ma charakter swobodny. W czasie wierceń stabilizowało się ono na głębokości 0,7 - 3,5 m p.p.t., co odpowiada rzędnym 93,8 - 99,9 m n.p.m.</w:t>
      </w:r>
    </w:p>
    <w:p>
      <w:pPr>
        <w:pStyle w:val="Normal"/>
        <w:rPr/>
      </w:pPr>
      <w:r>
        <w:rPr/>
        <w:t>Stwierdza się kategorię geotechniczną II.</w:t>
      </w:r>
    </w:p>
    <w:p>
      <w:pPr>
        <w:pStyle w:val="ListParagraph"/>
        <w:tabs>
          <w:tab w:val="left" w:pos="993" w:leader="none"/>
        </w:tabs>
        <w:ind w:left="993" w:firstLine="709"/>
        <w:rPr>
          <w:b/>
          <w:b/>
          <w:sz w:val="22"/>
          <w:szCs w:val="22"/>
        </w:rPr>
      </w:pPr>
      <w:r>
        <w:rPr>
          <w:b/>
          <w:sz w:val="22"/>
          <w:szCs w:val="22"/>
        </w:rPr>
      </w:r>
    </w:p>
    <w:p>
      <w:pPr>
        <w:pStyle w:val="Nagwek2"/>
        <w:numPr>
          <w:ilvl w:val="0"/>
          <w:numId w:val="2"/>
        </w:numPr>
        <w:rPr/>
      </w:pPr>
      <w:bookmarkStart w:id="14" w:name="_Toc456877304"/>
      <w:bookmarkStart w:id="15" w:name="_Toc388614754"/>
      <w:bookmarkStart w:id="16" w:name="_Toc378941510"/>
      <w:r>
        <w:rPr/>
        <w:t>WPIS DO REJESTRU ZABYTKÓW</w:t>
      </w:r>
      <w:bookmarkEnd w:id="16"/>
      <w:bookmarkEnd w:id="14"/>
      <w:bookmarkEnd w:id="15"/>
      <w:r>
        <w:rPr/>
        <w:t>.</w:t>
      </w:r>
    </w:p>
    <w:p>
      <w:pPr>
        <w:pStyle w:val="Normal"/>
        <w:rPr/>
      </w:pPr>
      <w:r>
        <w:rPr/>
      </w:r>
    </w:p>
    <w:p>
      <w:pPr>
        <w:pStyle w:val="Normal"/>
        <w:ind w:firstLine="567"/>
        <w:rPr/>
      </w:pPr>
      <w:r>
        <w:rPr/>
        <w:t>Inwestycja nie leży w zakresie strefy ochrony konserwatorskiej.</w:t>
      </w:r>
    </w:p>
    <w:p>
      <w:pPr>
        <w:pStyle w:val="Normal"/>
        <w:ind w:firstLine="567"/>
        <w:rPr/>
      </w:pPr>
      <w:r>
        <w:rPr/>
      </w:r>
    </w:p>
    <w:p>
      <w:pPr>
        <w:pStyle w:val="Normal"/>
        <w:ind w:firstLine="567"/>
        <w:rPr/>
      </w:pPr>
      <w:r>
        <w:rPr/>
      </w:r>
    </w:p>
    <w:p>
      <w:pPr>
        <w:pStyle w:val="Nagwek2"/>
        <w:numPr>
          <w:ilvl w:val="0"/>
          <w:numId w:val="2"/>
        </w:numPr>
        <w:rPr/>
      </w:pPr>
      <w:bookmarkStart w:id="17" w:name="_Toc456877305"/>
      <w:bookmarkStart w:id="18" w:name="_Toc388614755"/>
      <w:bookmarkStart w:id="19" w:name="_Toc378941511"/>
      <w:r>
        <w:rPr/>
        <w:t>WPŁYW EKSPLOATACJI GÓRNICZEJ NA INWESTYCJĘ</w:t>
      </w:r>
      <w:bookmarkEnd w:id="19"/>
      <w:bookmarkEnd w:id="17"/>
      <w:bookmarkEnd w:id="18"/>
      <w:r>
        <w:rPr/>
        <w:t>.</w:t>
      </w:r>
    </w:p>
    <w:p>
      <w:pPr>
        <w:pStyle w:val="Normal"/>
        <w:rPr/>
      </w:pPr>
      <w:r>
        <w:rPr/>
      </w:r>
    </w:p>
    <w:p>
      <w:pPr>
        <w:pStyle w:val="Normal"/>
        <w:ind w:firstLine="567"/>
        <w:rPr/>
      </w:pPr>
      <w:r>
        <w:rPr/>
        <w:t>Inwestycja nie leży w strefie oddziaływań eksploatacji górniczej.</w:t>
      </w:r>
    </w:p>
    <w:p>
      <w:pPr>
        <w:pStyle w:val="Normal"/>
        <w:ind w:firstLine="567"/>
        <w:rPr/>
      </w:pPr>
      <w:r>
        <w:rPr/>
      </w:r>
    </w:p>
    <w:p>
      <w:pPr>
        <w:pStyle w:val="Nagwek2"/>
        <w:numPr>
          <w:ilvl w:val="0"/>
          <w:numId w:val="2"/>
        </w:numPr>
        <w:rPr/>
      </w:pPr>
      <w:bookmarkStart w:id="20" w:name="_Toc456877306"/>
      <w:bookmarkStart w:id="21" w:name="_Toc388614756"/>
      <w:bookmarkStart w:id="22" w:name="_Toc378941512"/>
      <w:bookmarkEnd w:id="20"/>
      <w:bookmarkEnd w:id="21"/>
      <w:bookmarkEnd w:id="22"/>
      <w:r>
        <w:rPr/>
        <w:t>WPŁYW INWESTYCJI NA ŚRODOWISKO NATURALNE</w:t>
      </w:r>
    </w:p>
    <w:p>
      <w:pPr>
        <w:pStyle w:val="Normal"/>
        <w:ind w:firstLine="567"/>
        <w:rPr>
          <w:highlight w:val="yellow"/>
        </w:rPr>
      </w:pPr>
      <w:r>
        <w:rPr>
          <w:highlight w:val="yellow"/>
        </w:rPr>
      </w:r>
    </w:p>
    <w:p>
      <w:pPr>
        <w:pStyle w:val="Normal"/>
        <w:rPr/>
      </w:pPr>
      <w:r>
        <w:rPr/>
        <w:t>Niniejsze opracowanie obejmuje projekt sieci wodociągowej, kanalizacji sanitarnej, kanalizacji deszczowej i osiedlowej sieci cieplnej.</w:t>
      </w:r>
    </w:p>
    <w:p>
      <w:pPr>
        <w:pStyle w:val="Normal"/>
        <w:rPr/>
      </w:pPr>
      <w:r>
        <w:rPr/>
        <w:t xml:space="preserve">Zgodnie z rozporządzeniem Rady Ministrów z dnia 9 listopada 2010 r. w sprawie przedsięwzięć mogących znacząco oddziaływać na środowisko (Dz. U. nr 213 poz. 1397 ze zm.) na podstawie §3. ust 1 pkt. 79 sieci kanalizacji sanitarnej ze względu na swoją całkowitą długość zalicza się do przedsięwzięć mogących potencjalnie znacząco oddziaływać na środowisko. </w:t>
      </w:r>
    </w:p>
    <w:p>
      <w:pPr>
        <w:pStyle w:val="Normal"/>
        <w:rPr/>
      </w:pPr>
      <w:r>
        <w:rPr/>
        <w:t>Na niniejszy zakres uzyskano Opinię RDOŚ w Warszawie z dn. 22 lutego 2017 orzekającą brak potrzeby przeprowadzenia oceny oddziaływania na środowisko dla przedmiotowego przedsięwzięcia. Opinia stanowi załącznik do niniejszego projektu.</w:t>
      </w:r>
    </w:p>
    <w:p>
      <w:pPr>
        <w:pStyle w:val="Normal"/>
        <w:rPr/>
      </w:pPr>
      <w:r>
        <w:rPr/>
        <w:t>Pozostałe projektowane sieci ze względu na swój charakter i rodzaj pełnionych funkcji nie zaliczają się do przedsięwzięć mogących potencjalnie znacząco oddziaływać na środowisko.</w:t>
      </w:r>
    </w:p>
    <w:p>
      <w:pPr>
        <w:pStyle w:val="Normal"/>
        <w:rPr/>
      </w:pPr>
      <w:r>
        <w:rPr/>
      </w:r>
    </w:p>
    <w:p>
      <w:pPr>
        <w:pStyle w:val="Normal"/>
        <w:rPr/>
      </w:pPr>
      <w:r>
        <w:rPr/>
        <w:t>Projektowane sieci mieszczą się na działkach:</w:t>
      </w:r>
    </w:p>
    <w:p>
      <w:pPr>
        <w:pStyle w:val="Normal"/>
        <w:rPr>
          <w:szCs w:val="24"/>
        </w:rPr>
      </w:pPr>
      <w:r>
        <w:rPr>
          <w:szCs w:val="24"/>
        </w:rPr>
      </w:r>
    </w:p>
    <w:p>
      <w:pPr>
        <w:pStyle w:val="Normal"/>
        <w:rPr>
          <w:szCs w:val="24"/>
        </w:rPr>
      </w:pPr>
      <w:r>
        <w:rPr>
          <w:szCs w:val="24"/>
        </w:rPr>
        <w:t>Etap I:</w:t>
      </w:r>
    </w:p>
    <w:p>
      <w:pPr>
        <w:pStyle w:val="Normal"/>
        <w:spacing w:lineRule="auto" w:line="240"/>
        <w:ind w:hanging="0"/>
        <w:jc w:val="center"/>
        <w:rPr>
          <w:rFonts w:ascii="Arial Narrow" w:hAnsi="Arial Narrow"/>
          <w:sz w:val="24"/>
          <w:szCs w:val="24"/>
          <w:lang w:eastAsia="en-US"/>
        </w:rPr>
      </w:pPr>
      <w:r>
        <w:rPr>
          <w:rFonts w:ascii="Arial Narrow" w:hAnsi="Arial Narrow"/>
          <w:i/>
          <w:sz w:val="24"/>
          <w:szCs w:val="24"/>
          <w:lang w:eastAsia="en-US"/>
        </w:rPr>
        <w:t xml:space="preserve">       </w:t>
      </w:r>
      <w:r>
        <w:rPr>
          <w:rFonts w:ascii="Arial Narrow" w:hAnsi="Arial Narrow"/>
          <w:i/>
          <w:sz w:val="24"/>
          <w:szCs w:val="24"/>
          <w:u w:val="single"/>
          <w:lang w:eastAsia="en-US"/>
        </w:rPr>
        <w:t>Obręb ewidencyjny 26 – Nowe Trzepowo Gmina Stara Biała</w:t>
      </w:r>
      <w:r>
        <w:rPr>
          <w:rFonts w:ascii="Arial Narrow" w:hAnsi="Arial Narrow"/>
          <w:sz w:val="24"/>
          <w:szCs w:val="24"/>
          <w:lang w:eastAsia="en-US"/>
        </w:rPr>
        <w:t>:</w:t>
      </w:r>
    </w:p>
    <w:p>
      <w:pPr>
        <w:pStyle w:val="Normal"/>
        <w:spacing w:lineRule="auto" w:line="240"/>
        <w:ind w:left="709" w:hanging="0"/>
        <w:jc w:val="left"/>
        <w:rPr>
          <w:rFonts w:ascii="Arial Narrow" w:hAnsi="Arial Narrow"/>
          <w:lang w:eastAsia="en-US"/>
        </w:rPr>
      </w:pPr>
      <w:r>
        <w:rPr>
          <w:rFonts w:ascii="Arial Narrow" w:hAnsi="Arial Narrow"/>
          <w:lang w:eastAsia="en-US"/>
        </w:rPr>
        <w:t>dz. nr 80, 108/2 (</w:t>
      </w:r>
      <w:r>
        <w:rPr>
          <w:rFonts w:ascii="Arial Narrow" w:hAnsi="Arial Narrow"/>
          <w:b/>
          <w:lang w:eastAsia="en-US"/>
        </w:rPr>
        <w:t>108/3</w:t>
      </w:r>
      <w:r>
        <w:rPr>
          <w:rFonts w:ascii="Arial Narrow" w:hAnsi="Arial Narrow"/>
          <w:lang w:eastAsia="en-US"/>
        </w:rPr>
        <w:t>,108/4,108/5), 123 (</w:t>
      </w:r>
      <w:r>
        <w:rPr>
          <w:rFonts w:ascii="Arial Narrow" w:hAnsi="Arial Narrow"/>
          <w:b/>
          <w:lang w:eastAsia="en-US"/>
        </w:rPr>
        <w:t>123/1</w:t>
      </w:r>
      <w:r>
        <w:rPr>
          <w:rFonts w:ascii="Arial Narrow" w:hAnsi="Arial Narrow"/>
          <w:lang w:eastAsia="en-US"/>
        </w:rPr>
        <w:t>,123/2,123/3), 107/1, 108/1.</w:t>
      </w:r>
    </w:p>
    <w:p>
      <w:pPr>
        <w:pStyle w:val="Normal"/>
        <w:suppressAutoHyphens w:val="true"/>
        <w:snapToGrid w:val="false"/>
        <w:spacing w:lineRule="auto" w:line="240"/>
        <w:ind w:hanging="0"/>
        <w:jc w:val="center"/>
        <w:rPr>
          <w:rFonts w:ascii="Arial Narrow" w:hAnsi="Arial Narrow"/>
          <w:sz w:val="24"/>
          <w:szCs w:val="24"/>
          <w:lang w:eastAsia="en-US"/>
        </w:rPr>
      </w:pPr>
      <w:r>
        <w:rPr>
          <w:rFonts w:ascii="Arial Narrow" w:hAnsi="Arial Narrow"/>
          <w:i/>
          <w:sz w:val="24"/>
          <w:szCs w:val="24"/>
          <w:u w:val="single"/>
          <w:lang w:eastAsia="en-US"/>
        </w:rPr>
        <w:t>Obręb ewidencyjny 2 – Trzepowo Gmina Miasto Płock</w:t>
      </w:r>
      <w:r>
        <w:rPr>
          <w:rFonts w:ascii="Arial Narrow" w:hAnsi="Arial Narrow"/>
          <w:sz w:val="24"/>
          <w:szCs w:val="24"/>
          <w:lang w:eastAsia="en-US"/>
        </w:rPr>
        <w:t>:</w:t>
      </w:r>
    </w:p>
    <w:p>
      <w:pPr>
        <w:pStyle w:val="Normal"/>
        <w:ind w:left="709" w:hanging="0"/>
        <w:rPr>
          <w:lang w:eastAsia="en-US"/>
        </w:rPr>
      </w:pPr>
      <w:r>
        <w:rPr>
          <w:rFonts w:ascii="Arial Narrow" w:hAnsi="Arial Narrow"/>
          <w:lang w:eastAsia="en-US"/>
        </w:rPr>
        <w:t>dz. nr 21, 22, 24, 25 (</w:t>
      </w:r>
      <w:r>
        <w:rPr>
          <w:rFonts w:ascii="Arial Narrow" w:hAnsi="Arial Narrow"/>
          <w:b/>
          <w:lang w:eastAsia="en-US"/>
        </w:rPr>
        <w:t>25/1</w:t>
      </w:r>
      <w:r>
        <w:rPr>
          <w:rFonts w:ascii="Arial Narrow" w:hAnsi="Arial Narrow"/>
          <w:lang w:eastAsia="en-US"/>
        </w:rPr>
        <w:t>,25/2), 26 (</w:t>
      </w:r>
      <w:r>
        <w:rPr>
          <w:rFonts w:ascii="Arial Narrow" w:hAnsi="Arial Narrow"/>
          <w:b/>
          <w:lang w:eastAsia="en-US"/>
        </w:rPr>
        <w:t>26/1</w:t>
      </w:r>
      <w:r>
        <w:rPr>
          <w:rFonts w:ascii="Arial Narrow" w:hAnsi="Arial Narrow"/>
          <w:lang w:eastAsia="en-US"/>
        </w:rPr>
        <w:t>,26/2), 27/3, 28, 29, 30 (</w:t>
      </w:r>
      <w:r>
        <w:rPr>
          <w:rFonts w:ascii="Arial Narrow" w:hAnsi="Arial Narrow"/>
          <w:b/>
          <w:lang w:eastAsia="en-US"/>
        </w:rPr>
        <w:t>30/1</w:t>
      </w:r>
      <w:r>
        <w:rPr>
          <w:rFonts w:ascii="Arial Narrow" w:hAnsi="Arial Narrow"/>
          <w:lang w:eastAsia="en-US"/>
        </w:rPr>
        <w:t>,30/2,30/3), 65 (</w:t>
      </w:r>
      <w:r>
        <w:rPr>
          <w:rFonts w:ascii="Arial Narrow" w:hAnsi="Arial Narrow"/>
          <w:b/>
          <w:lang w:eastAsia="en-US"/>
        </w:rPr>
        <w:t>65/1</w:t>
      </w:r>
      <w:r>
        <w:rPr>
          <w:rFonts w:ascii="Arial Narrow" w:hAnsi="Arial Narrow"/>
          <w:lang w:eastAsia="en-US"/>
        </w:rPr>
        <w:t>,65/2,65/3), 68 (</w:t>
      </w:r>
      <w:r>
        <w:rPr>
          <w:rFonts w:ascii="Arial Narrow" w:hAnsi="Arial Narrow"/>
          <w:b/>
          <w:lang w:eastAsia="en-US"/>
        </w:rPr>
        <w:t>68/1</w:t>
      </w:r>
      <w:r>
        <w:rPr>
          <w:rFonts w:ascii="Arial Narrow" w:hAnsi="Arial Narrow"/>
          <w:lang w:eastAsia="en-US"/>
        </w:rPr>
        <w:t>,68/2,68/3), 69 (</w:t>
      </w:r>
      <w:r>
        <w:rPr>
          <w:rFonts w:ascii="Arial Narrow" w:hAnsi="Arial Narrow"/>
          <w:b/>
          <w:lang w:eastAsia="en-US"/>
        </w:rPr>
        <w:t>69/1</w:t>
      </w:r>
      <w:r>
        <w:rPr>
          <w:rFonts w:ascii="Arial Narrow" w:hAnsi="Arial Narrow"/>
          <w:lang w:eastAsia="en-US"/>
        </w:rPr>
        <w:t>,69/2), 70 (</w:t>
      </w:r>
      <w:r>
        <w:rPr>
          <w:rFonts w:ascii="Arial Narrow" w:hAnsi="Arial Narrow"/>
          <w:b/>
          <w:lang w:eastAsia="en-US"/>
        </w:rPr>
        <w:t>70/1</w:t>
      </w:r>
      <w:r>
        <w:rPr>
          <w:rFonts w:ascii="Arial Narrow" w:hAnsi="Arial Narrow"/>
          <w:lang w:eastAsia="en-US"/>
        </w:rPr>
        <w:t>,70/2), 71 (</w:t>
      </w:r>
      <w:r>
        <w:rPr>
          <w:rFonts w:ascii="Arial Narrow" w:hAnsi="Arial Narrow"/>
          <w:b/>
          <w:lang w:eastAsia="en-US"/>
        </w:rPr>
        <w:t>71/1</w:t>
      </w:r>
      <w:r>
        <w:rPr>
          <w:rFonts w:ascii="Arial Narrow" w:hAnsi="Arial Narrow"/>
          <w:lang w:eastAsia="en-US"/>
        </w:rPr>
        <w:t>,71/2), 72 (</w:t>
      </w:r>
      <w:r>
        <w:rPr>
          <w:rFonts w:ascii="Arial Narrow" w:hAnsi="Arial Narrow"/>
          <w:b/>
          <w:lang w:eastAsia="en-US"/>
        </w:rPr>
        <w:t>72/1</w:t>
      </w:r>
      <w:r>
        <w:rPr>
          <w:rFonts w:ascii="Arial Narrow" w:hAnsi="Arial Narrow"/>
          <w:lang w:eastAsia="en-US"/>
        </w:rPr>
        <w:t>,72/2,72/3), 73/1 (</w:t>
      </w:r>
      <w:r>
        <w:rPr>
          <w:rFonts w:ascii="Arial Narrow" w:hAnsi="Arial Narrow"/>
          <w:b/>
          <w:lang w:eastAsia="en-US"/>
        </w:rPr>
        <w:t>73/3</w:t>
      </w:r>
      <w:r>
        <w:rPr>
          <w:rFonts w:ascii="Arial Narrow" w:hAnsi="Arial Narrow"/>
          <w:lang w:eastAsia="en-US"/>
        </w:rPr>
        <w:t>,73/4), 74 (</w:t>
      </w:r>
      <w:r>
        <w:rPr>
          <w:rFonts w:ascii="Arial Narrow" w:hAnsi="Arial Narrow"/>
          <w:b/>
          <w:lang w:eastAsia="en-US"/>
        </w:rPr>
        <w:t>74/1</w:t>
      </w:r>
      <w:r>
        <w:rPr>
          <w:rFonts w:ascii="Arial Narrow" w:hAnsi="Arial Narrow"/>
          <w:lang w:eastAsia="en-US"/>
        </w:rPr>
        <w:t>,74/2), 75 (</w:t>
      </w:r>
      <w:r>
        <w:rPr>
          <w:rFonts w:ascii="Arial Narrow" w:hAnsi="Arial Narrow"/>
          <w:b/>
          <w:lang w:eastAsia="en-US"/>
        </w:rPr>
        <w:t>75/1</w:t>
      </w:r>
      <w:r>
        <w:rPr>
          <w:rFonts w:ascii="Arial Narrow" w:hAnsi="Arial Narrow"/>
          <w:lang w:eastAsia="en-US"/>
        </w:rPr>
        <w:t>,75/2), 76 (</w:t>
      </w:r>
      <w:r>
        <w:rPr>
          <w:rFonts w:ascii="Arial Narrow" w:hAnsi="Arial Narrow"/>
          <w:b/>
          <w:lang w:eastAsia="en-US"/>
        </w:rPr>
        <w:t>76/1</w:t>
      </w:r>
      <w:r>
        <w:rPr>
          <w:rFonts w:ascii="Arial Narrow" w:hAnsi="Arial Narrow"/>
          <w:lang w:eastAsia="en-US"/>
        </w:rPr>
        <w:t>,76/2), 77 (</w:t>
      </w:r>
      <w:r>
        <w:rPr>
          <w:rFonts w:ascii="Arial Narrow" w:hAnsi="Arial Narrow"/>
          <w:b/>
          <w:lang w:eastAsia="en-US"/>
        </w:rPr>
        <w:t>77/1</w:t>
      </w:r>
      <w:r>
        <w:rPr>
          <w:rFonts w:ascii="Arial Narrow" w:hAnsi="Arial Narrow"/>
          <w:lang w:eastAsia="en-US"/>
        </w:rPr>
        <w:t>,77/2), 78 (</w:t>
      </w:r>
      <w:r>
        <w:rPr>
          <w:rFonts w:ascii="Arial Narrow" w:hAnsi="Arial Narrow"/>
          <w:b/>
          <w:lang w:eastAsia="en-US"/>
        </w:rPr>
        <w:t>78/1</w:t>
      </w:r>
      <w:r>
        <w:rPr>
          <w:rFonts w:ascii="Arial Narrow" w:hAnsi="Arial Narrow"/>
          <w:lang w:eastAsia="en-US"/>
        </w:rPr>
        <w:t>,78/2), 79 (</w:t>
      </w:r>
      <w:r>
        <w:rPr>
          <w:rFonts w:ascii="Arial Narrow" w:hAnsi="Arial Narrow"/>
          <w:b/>
          <w:lang w:eastAsia="en-US"/>
        </w:rPr>
        <w:t>79/1</w:t>
      </w:r>
      <w:r>
        <w:rPr>
          <w:rFonts w:ascii="Arial Narrow" w:hAnsi="Arial Narrow"/>
          <w:lang w:eastAsia="en-US"/>
        </w:rPr>
        <w:t>,79/2), 80 (</w:t>
      </w:r>
      <w:r>
        <w:rPr>
          <w:rFonts w:ascii="Arial Narrow" w:hAnsi="Arial Narrow"/>
          <w:b/>
          <w:lang w:eastAsia="en-US"/>
        </w:rPr>
        <w:t>80/1</w:t>
      </w:r>
      <w:r>
        <w:rPr>
          <w:rFonts w:ascii="Arial Narrow" w:hAnsi="Arial Narrow"/>
          <w:lang w:eastAsia="en-US"/>
        </w:rPr>
        <w:t>,80/2), 81 (</w:t>
      </w:r>
      <w:r>
        <w:rPr>
          <w:rFonts w:ascii="Arial Narrow" w:hAnsi="Arial Narrow"/>
          <w:b/>
          <w:lang w:eastAsia="en-US"/>
        </w:rPr>
        <w:t>81/1</w:t>
      </w:r>
      <w:r>
        <w:rPr>
          <w:rFonts w:ascii="Arial Narrow" w:hAnsi="Arial Narrow"/>
          <w:lang w:eastAsia="en-US"/>
        </w:rPr>
        <w:t>,81/2), 84 (</w:t>
      </w:r>
      <w:r>
        <w:rPr>
          <w:rFonts w:ascii="Arial Narrow" w:hAnsi="Arial Narrow"/>
          <w:b/>
          <w:lang w:eastAsia="en-US"/>
        </w:rPr>
        <w:t>84/1</w:t>
      </w:r>
      <w:r>
        <w:rPr>
          <w:rFonts w:ascii="Arial Narrow" w:hAnsi="Arial Narrow"/>
          <w:lang w:eastAsia="en-US"/>
        </w:rPr>
        <w:t>,84/2), 120, 151, 152 (</w:t>
      </w:r>
      <w:r>
        <w:rPr>
          <w:rFonts w:ascii="Arial Narrow" w:hAnsi="Arial Narrow"/>
          <w:b/>
          <w:lang w:eastAsia="en-US"/>
        </w:rPr>
        <w:t>152/1</w:t>
      </w:r>
      <w:r>
        <w:rPr>
          <w:rFonts w:ascii="Arial Narrow" w:hAnsi="Arial Narrow"/>
          <w:lang w:eastAsia="en-US"/>
        </w:rPr>
        <w:t>,152/2), 153 (</w:t>
      </w:r>
      <w:r>
        <w:rPr>
          <w:rFonts w:ascii="Arial Narrow" w:hAnsi="Arial Narrow"/>
          <w:b/>
          <w:lang w:eastAsia="en-US"/>
        </w:rPr>
        <w:t>153/1</w:t>
      </w:r>
      <w:r>
        <w:rPr>
          <w:rFonts w:ascii="Arial Narrow" w:hAnsi="Arial Narrow"/>
          <w:lang w:eastAsia="en-US"/>
        </w:rPr>
        <w:t xml:space="preserve">,153/2), </w:t>
      </w:r>
      <w:r>
        <w:rPr>
          <w:rFonts w:ascii="Arial Narrow" w:hAnsi="Arial Narrow"/>
          <w:b/>
          <w:lang w:eastAsia="en-US"/>
        </w:rPr>
        <w:t>154</w:t>
      </w:r>
      <w:r>
        <w:rPr>
          <w:rFonts w:ascii="Arial Narrow" w:hAnsi="Arial Narrow"/>
          <w:lang w:eastAsia="en-US"/>
        </w:rPr>
        <w:t>, 159, 161 (</w:t>
      </w:r>
      <w:r>
        <w:rPr>
          <w:rFonts w:ascii="Arial Narrow" w:hAnsi="Arial Narrow"/>
          <w:b/>
          <w:lang w:eastAsia="en-US"/>
        </w:rPr>
        <w:t>161/1</w:t>
      </w:r>
      <w:r>
        <w:rPr>
          <w:rFonts w:ascii="Arial Narrow" w:hAnsi="Arial Narrow"/>
          <w:lang w:eastAsia="en-US"/>
        </w:rPr>
        <w:t>,161/2), 162 (162/1,</w:t>
      </w:r>
      <w:r>
        <w:rPr>
          <w:rFonts w:ascii="Arial Narrow" w:hAnsi="Arial Narrow"/>
          <w:b/>
          <w:lang w:eastAsia="en-US"/>
        </w:rPr>
        <w:t>162/2</w:t>
      </w:r>
      <w:r>
        <w:rPr>
          <w:rFonts w:ascii="Arial Narrow" w:hAnsi="Arial Narrow"/>
          <w:lang w:eastAsia="en-US"/>
        </w:rPr>
        <w:t>,162/3,</w:t>
      </w:r>
      <w:r>
        <w:rPr>
          <w:rFonts w:ascii="Arial Narrow" w:hAnsi="Arial Narrow"/>
          <w:b/>
          <w:lang w:eastAsia="en-US"/>
        </w:rPr>
        <w:t>162/4,</w:t>
      </w:r>
      <w:r>
        <w:rPr>
          <w:rFonts w:ascii="Arial Narrow" w:hAnsi="Arial Narrow"/>
          <w:lang w:eastAsia="en-US"/>
        </w:rPr>
        <w:t>162/5), 163 (</w:t>
      </w:r>
      <w:r>
        <w:rPr>
          <w:rFonts w:ascii="Arial Narrow" w:hAnsi="Arial Narrow"/>
          <w:b/>
          <w:lang w:eastAsia="en-US"/>
        </w:rPr>
        <w:t>163/1,163/2</w:t>
      </w:r>
      <w:r>
        <w:rPr>
          <w:rFonts w:ascii="Arial Narrow" w:hAnsi="Arial Narrow"/>
          <w:lang w:eastAsia="en-US"/>
        </w:rPr>
        <w:t>,163/3,163/4), 164 (</w:t>
      </w:r>
      <w:r>
        <w:rPr>
          <w:rFonts w:ascii="Arial Narrow" w:hAnsi="Arial Narrow"/>
          <w:b/>
          <w:lang w:eastAsia="en-US"/>
        </w:rPr>
        <w:t>164/1</w:t>
      </w:r>
      <w:r>
        <w:rPr>
          <w:rFonts w:ascii="Arial Narrow" w:hAnsi="Arial Narrow"/>
          <w:lang w:eastAsia="en-US"/>
        </w:rPr>
        <w:t>,164/2,164/3),165 (</w:t>
      </w:r>
      <w:r>
        <w:rPr>
          <w:rFonts w:ascii="Arial Narrow" w:hAnsi="Arial Narrow"/>
          <w:b/>
          <w:lang w:eastAsia="en-US"/>
        </w:rPr>
        <w:t>165/1</w:t>
      </w:r>
      <w:r>
        <w:rPr>
          <w:rFonts w:ascii="Arial Narrow" w:hAnsi="Arial Narrow"/>
          <w:lang w:eastAsia="en-US"/>
        </w:rPr>
        <w:t>,165/2,165/3), 166 (</w:t>
      </w:r>
      <w:r>
        <w:rPr>
          <w:rFonts w:ascii="Arial Narrow" w:hAnsi="Arial Narrow"/>
          <w:b/>
          <w:lang w:eastAsia="en-US"/>
        </w:rPr>
        <w:t>166/1</w:t>
      </w:r>
      <w:r>
        <w:rPr>
          <w:rFonts w:ascii="Arial Narrow" w:hAnsi="Arial Narrow"/>
          <w:lang w:eastAsia="en-US"/>
        </w:rPr>
        <w:t>,166/2,166/3), 167 (</w:t>
      </w:r>
      <w:r>
        <w:rPr>
          <w:rFonts w:ascii="Arial Narrow" w:hAnsi="Arial Narrow"/>
          <w:b/>
          <w:lang w:eastAsia="en-US"/>
        </w:rPr>
        <w:t>167/1</w:t>
      </w:r>
      <w:r>
        <w:rPr>
          <w:rFonts w:ascii="Arial Narrow" w:hAnsi="Arial Narrow"/>
          <w:lang w:eastAsia="en-US"/>
        </w:rPr>
        <w:t>,167/2,167/3), 169 (</w:t>
      </w:r>
      <w:r>
        <w:rPr>
          <w:rFonts w:ascii="Arial Narrow" w:hAnsi="Arial Narrow"/>
          <w:b/>
          <w:lang w:eastAsia="en-US"/>
        </w:rPr>
        <w:t>169/1</w:t>
      </w:r>
      <w:r>
        <w:rPr>
          <w:rFonts w:ascii="Arial Narrow" w:hAnsi="Arial Narrow"/>
          <w:lang w:eastAsia="en-US"/>
        </w:rPr>
        <w:t>,169/2,169/3), 170, 171 (</w:t>
      </w:r>
      <w:r>
        <w:rPr>
          <w:rFonts w:ascii="Arial Narrow" w:hAnsi="Arial Narrow"/>
          <w:b/>
          <w:lang w:eastAsia="en-US"/>
        </w:rPr>
        <w:t>171/1,171/2</w:t>
      </w:r>
      <w:r>
        <w:rPr>
          <w:rFonts w:ascii="Arial Narrow" w:hAnsi="Arial Narrow"/>
          <w:lang w:eastAsia="en-US"/>
        </w:rPr>
        <w:t>,171/3), 184, 185 (</w:t>
      </w:r>
      <w:r>
        <w:rPr>
          <w:rFonts w:ascii="Arial Narrow" w:hAnsi="Arial Narrow"/>
          <w:b/>
          <w:lang w:eastAsia="en-US"/>
        </w:rPr>
        <w:t>185/1</w:t>
      </w:r>
      <w:r>
        <w:rPr>
          <w:rFonts w:ascii="Arial Narrow" w:hAnsi="Arial Narrow"/>
          <w:lang w:eastAsia="en-US"/>
        </w:rPr>
        <w:t>,185/2), 191, 192, 193 (</w:t>
      </w:r>
      <w:r>
        <w:rPr>
          <w:rFonts w:ascii="Arial Narrow" w:hAnsi="Arial Narrow"/>
          <w:b/>
          <w:lang w:eastAsia="en-US"/>
        </w:rPr>
        <w:t>193/1</w:t>
      </w:r>
      <w:r>
        <w:rPr>
          <w:rFonts w:ascii="Arial Narrow" w:hAnsi="Arial Narrow"/>
          <w:lang w:eastAsia="en-US"/>
        </w:rPr>
        <w:t>,193/2), 194 (</w:t>
      </w:r>
      <w:r>
        <w:rPr>
          <w:rFonts w:ascii="Arial Narrow" w:hAnsi="Arial Narrow"/>
          <w:b/>
          <w:lang w:eastAsia="en-US"/>
        </w:rPr>
        <w:t>194/1</w:t>
      </w:r>
      <w:r>
        <w:rPr>
          <w:rFonts w:ascii="Arial Narrow" w:hAnsi="Arial Narrow"/>
          <w:lang w:eastAsia="en-US"/>
        </w:rPr>
        <w:t>,194/2,</w:t>
      </w:r>
      <w:r>
        <w:rPr>
          <w:rFonts w:ascii="Arial Narrow" w:hAnsi="Arial Narrow"/>
          <w:b/>
          <w:lang w:eastAsia="en-US"/>
        </w:rPr>
        <w:t>194/3</w:t>
      </w:r>
      <w:r>
        <w:rPr>
          <w:rFonts w:ascii="Arial Narrow" w:hAnsi="Arial Narrow"/>
          <w:lang w:eastAsia="en-US"/>
        </w:rPr>
        <w:t>,194/4), 195 (</w:t>
      </w:r>
      <w:r>
        <w:rPr>
          <w:rFonts w:ascii="Arial Narrow" w:hAnsi="Arial Narrow"/>
          <w:b/>
          <w:lang w:eastAsia="en-US"/>
        </w:rPr>
        <w:t>195/1</w:t>
      </w:r>
      <w:r>
        <w:rPr>
          <w:rFonts w:ascii="Arial Narrow" w:hAnsi="Arial Narrow"/>
          <w:lang w:eastAsia="en-US"/>
        </w:rPr>
        <w:t>,195/2,195/3), 202/11, 203 (</w:t>
      </w:r>
      <w:r>
        <w:rPr>
          <w:rFonts w:ascii="Arial Narrow" w:hAnsi="Arial Narrow"/>
          <w:b/>
          <w:lang w:eastAsia="en-US"/>
        </w:rPr>
        <w:t>203/1</w:t>
      </w:r>
      <w:r>
        <w:rPr>
          <w:rFonts w:ascii="Arial Narrow" w:hAnsi="Arial Narrow"/>
          <w:lang w:eastAsia="en-US"/>
        </w:rPr>
        <w:t>, 203/2), 205/1 (</w:t>
      </w:r>
      <w:r>
        <w:rPr>
          <w:rFonts w:ascii="Arial Narrow" w:hAnsi="Arial Narrow"/>
          <w:b/>
          <w:lang w:eastAsia="en-US"/>
        </w:rPr>
        <w:t>205/3</w:t>
      </w:r>
      <w:r>
        <w:rPr>
          <w:rFonts w:ascii="Arial Narrow" w:hAnsi="Arial Narrow"/>
          <w:lang w:eastAsia="en-US"/>
        </w:rPr>
        <w:t>, 205/4), 206(</w:t>
      </w:r>
      <w:r>
        <w:rPr>
          <w:rFonts w:ascii="Arial Narrow" w:hAnsi="Arial Narrow"/>
          <w:b/>
          <w:lang w:eastAsia="en-US"/>
        </w:rPr>
        <w:t>206/1</w:t>
      </w:r>
      <w:r>
        <w:rPr>
          <w:rFonts w:ascii="Arial Narrow" w:hAnsi="Arial Narrow"/>
          <w:lang w:eastAsia="en-US"/>
        </w:rPr>
        <w:t>, 206/2), 207 (</w:t>
      </w:r>
      <w:r>
        <w:rPr>
          <w:rFonts w:ascii="Arial Narrow" w:hAnsi="Arial Narrow"/>
          <w:b/>
          <w:lang w:eastAsia="en-US"/>
        </w:rPr>
        <w:t>207/1</w:t>
      </w:r>
      <w:r>
        <w:rPr>
          <w:rFonts w:ascii="Arial Narrow" w:hAnsi="Arial Narrow"/>
          <w:lang w:eastAsia="en-US"/>
        </w:rPr>
        <w:t>, 207/2, 207/3), 208 (</w:t>
      </w:r>
      <w:r>
        <w:rPr>
          <w:rFonts w:ascii="Arial Narrow" w:hAnsi="Arial Narrow"/>
          <w:b/>
          <w:lang w:eastAsia="en-US"/>
        </w:rPr>
        <w:t>208/1</w:t>
      </w:r>
      <w:r>
        <w:rPr>
          <w:rFonts w:ascii="Arial Narrow" w:hAnsi="Arial Narrow"/>
          <w:lang w:eastAsia="en-US"/>
        </w:rPr>
        <w:t>, 208/2, 208/3).</w:t>
      </w:r>
    </w:p>
    <w:p>
      <w:pPr>
        <w:pStyle w:val="Normal"/>
        <w:ind w:left="709" w:hanging="0"/>
        <w:rPr>
          <w:lang w:eastAsia="en-US"/>
        </w:rPr>
      </w:pPr>
      <w:r>
        <w:rPr>
          <w:lang w:eastAsia="en-US"/>
        </w:rPr>
      </w:r>
    </w:p>
    <w:p>
      <w:pPr>
        <w:pStyle w:val="Normal"/>
        <w:rPr/>
      </w:pPr>
      <w:r>
        <w:rPr/>
      </w:r>
    </w:p>
    <w:p>
      <w:pPr>
        <w:pStyle w:val="Normal"/>
        <w:rPr/>
      </w:pPr>
      <w:r>
        <w:rPr/>
        <w:t>Na niniejszy zakres uzyskano Opinię RDOŚ w Warszawie z dn. 22 lutego 2017 orzekającą brak potrzeby przeprowadzenia oceny oddziaływania na środowisko dla przedmiotowego przedsięwzięcia. Opinia stanowi załącznik do niniejszego projektu.</w:t>
      </w:r>
    </w:p>
    <w:p>
      <w:pPr>
        <w:pStyle w:val="Normal"/>
        <w:rPr/>
      </w:pPr>
      <w:r>
        <w:rPr/>
        <w:t xml:space="preserve">Na podstawie §13a oraz §6 Rozporządzenia Ministra Transportu, Budownictwa </w:t>
        <w:br/>
        <w:t xml:space="preserve">i Gospodarki Morskiej z dnia 25 kwietnia 2012 r. w sprawie szczegółowego zakresu i formy projektu budowlanego wraz z późniejszymi zmianami, a także art. 3 pkt. 20 oraz art. 34 ust. 3 pkt. 5 Ustawy Prawo Budowlane z dnia 7 lipca 1994r. z późniejszymi zmianami, ustala się, że obszar oddziaływania inwestycji mieści się w całości na wszystkich w/w działkach nie ma wpływu na działki sąsiednie. </w:t>
      </w:r>
    </w:p>
    <w:p>
      <w:pPr>
        <w:pStyle w:val="Tretekstu"/>
        <w:rPr>
          <w:sz w:val="22"/>
        </w:rPr>
      </w:pPr>
      <w:r>
        <w:rPr>
          <w:sz w:val="22"/>
        </w:rPr>
        <w:t>Inwestycja nie narusza ustaw o ochronie gatunkowej roślin i zwierząt.</w:t>
      </w:r>
    </w:p>
    <w:p>
      <w:pPr>
        <w:pStyle w:val="Normal"/>
        <w:rPr/>
      </w:pPr>
      <w:r>
        <w:rPr/>
      </w:r>
    </w:p>
    <w:p>
      <w:pPr>
        <w:pStyle w:val="Tretekstu"/>
        <w:rPr>
          <w:sz w:val="18"/>
          <w:highlight w:val="yellow"/>
        </w:rPr>
      </w:pPr>
      <w:r>
        <w:rPr>
          <w:sz w:val="18"/>
          <w:highlight w:val="yellow"/>
        </w:rPr>
      </w:r>
    </w:p>
    <w:p>
      <w:pPr>
        <w:pStyle w:val="Tretekstu"/>
        <w:rPr/>
      </w:pPr>
      <w:r>
        <w:rPr/>
      </w:r>
    </w:p>
    <w:sectPr>
      <w:headerReference w:type="default" r:id="rId2"/>
      <w:footerReference w:type="default" r:id="rId3"/>
      <w:type w:val="nextPage"/>
      <w:pgSz w:w="11906" w:h="16838"/>
      <w:pgMar w:left="1417" w:right="1417" w:header="708" w:top="1417" w:footer="708" w:bottom="127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Arial Narrow">
    <w:charset w:val="ee"/>
    <w:family w:val="roman"/>
    <w:pitch w:val="variable"/>
  </w:font>
  <w:font w:name="Liberation Sans">
    <w:altName w:val="Arial"/>
    <w:charset w:val="ee"/>
    <w:family w:val="swiss"/>
    <w:pitch w:val="variable"/>
  </w:font>
  <w:font w:name="Cambria">
    <w:charset w:val="ee"/>
    <w:family w:val="roman"/>
    <w:pitch w:val="variable"/>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lineRule="auto" w:line="276"/>
      <w:jc w:val="right"/>
      <w:rPr>
        <w:i/>
        <w:i/>
        <w:sz w:val="20"/>
        <w:szCs w:val="20"/>
      </w:rPr>
    </w:pPr>
    <w:r>
      <w:rPr>
        <w:i/>
        <w:sz w:val="20"/>
        <w:szCs w:val="20"/>
      </w:rPr>
      <w:t>„</w:t>
    </w:r>
    <w:r>
      <w:rPr>
        <w:i/>
        <w:sz w:val="20"/>
        <w:szCs w:val="20"/>
      </w:rPr>
      <w:t>Budowa Nowej Przemysłowej na odcinku od węzła „Trzepowo” obwodnicy północno – zachodniej miasta Płocka do drogi powiatowej nr 5205W – ETAP 1”</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right"/>
      <w:pPr>
        <w:tabs>
          <w:tab w:val="num" w:pos="450"/>
        </w:tabs>
        <w:ind w:left="450" w:hanging="450"/>
      </w:pPr>
    </w:lvl>
    <w:lvl w:ilvl="1">
      <w:start w:val="1"/>
      <w:numFmt w:val="bullet"/>
      <w:lvlText w:val=""/>
      <w:lvlJc w:val="left"/>
      <w:pPr>
        <w:tabs>
          <w:tab w:val="num" w:pos="1080"/>
        </w:tabs>
        <w:ind w:left="1080" w:hanging="720"/>
      </w:pPr>
      <w:rPr>
        <w:rFonts w:ascii="Symbol" w:hAnsi="Symbol" w:cs="Symbol" w:hint="default"/>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decimal"/>
      <w:lvlText w:val="%1.%2."/>
      <w:lvlJc w:val="left"/>
      <w:pPr>
        <w:tabs>
          <w:tab w:val="num" w:pos="3054"/>
        </w:tabs>
        <w:ind w:left="3054" w:hanging="432"/>
      </w:p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abstractNum w:abstractNumId="5">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bullet"/>
      <w:lvlText w:val=""/>
      <w:lvlJc w:val="left"/>
      <w:pPr>
        <w:ind w:left="1080" w:hanging="360"/>
      </w:pPr>
      <w:rPr>
        <w:rFonts w:ascii="Symbol" w:hAnsi="Symbol" w:cs="Symbol" w:hint="default"/>
        <w:color w:val="00000A"/>
      </w:r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5ff0"/>
    <w:pPr>
      <w:widowControl/>
      <w:bidi w:val="0"/>
      <w:spacing w:lineRule="auto" w:line="360"/>
      <w:ind w:firstLine="709"/>
      <w:jc w:val="both"/>
    </w:pPr>
    <w:rPr>
      <w:rFonts w:ascii="Arial" w:hAnsi="Arial" w:cs="Arial" w:eastAsia="Times New Roman"/>
      <w:color w:val="auto"/>
      <w:sz w:val="22"/>
      <w:szCs w:val="22"/>
      <w:lang w:val="pl-PL" w:eastAsia="pl-PL" w:bidi="ar-SA"/>
    </w:rPr>
  </w:style>
  <w:style w:type="paragraph" w:styleId="Nagwek1">
    <w:name w:val="Nagłówek 1"/>
    <w:basedOn w:val="Nagwek2"/>
    <w:link w:val="Nagwek1Znak"/>
    <w:qFormat/>
    <w:rsid w:val="0079113e"/>
    <w:pPr>
      <w:numPr>
        <w:ilvl w:val="0"/>
        <w:numId w:val="0"/>
      </w:numPr>
      <w:ind w:left="426" w:hanging="426"/>
      <w:outlineLvl w:val="0"/>
    </w:pPr>
    <w:rPr>
      <w:sz w:val="24"/>
      <w:u w:val="none"/>
    </w:rPr>
  </w:style>
  <w:style w:type="paragraph" w:styleId="Nagwek2">
    <w:name w:val="Nagłówek 2"/>
    <w:basedOn w:val="Normal"/>
    <w:link w:val="Nagwek2Znak"/>
    <w:qFormat/>
    <w:rsid w:val="004f4a5d"/>
    <w:pPr>
      <w:numPr>
        <w:ilvl w:val="0"/>
        <w:numId w:val="1"/>
      </w:numPr>
      <w:outlineLvl w:val="0"/>
      <w:outlineLvl w:val="0"/>
    </w:pPr>
    <w:rPr>
      <w:rFonts w:cs="Times New Roman"/>
      <w:b/>
      <w:bCs/>
      <w:u w:val="single"/>
    </w:rPr>
  </w:style>
  <w:style w:type="paragraph" w:styleId="Nagwek3">
    <w:name w:val="Nagłówek 3"/>
    <w:basedOn w:val="Normal"/>
    <w:link w:val="Nagwek3Znak"/>
    <w:qFormat/>
    <w:rsid w:val="00132529"/>
    <w:pPr>
      <w:tabs>
        <w:tab w:val="left" w:pos="360" w:leader="none"/>
        <w:tab w:val="left" w:pos="993" w:leader="none"/>
      </w:tabs>
      <w:ind w:left="1428" w:hanging="1002"/>
      <w:outlineLvl w:val="2"/>
    </w:pPr>
    <w:rPr>
      <w:rFonts w:cs="Times New Roman"/>
      <w:b/>
      <w:szCs w:val="24"/>
    </w:rPr>
  </w:style>
  <w:style w:type="paragraph" w:styleId="Nagwek4">
    <w:name w:val="Nagłówek 4"/>
    <w:basedOn w:val="Normal"/>
    <w:link w:val="Nagwek4Znak"/>
    <w:uiPriority w:val="9"/>
    <w:qFormat/>
    <w:rsid w:val="005c6c57"/>
    <w:pPr>
      <w:widowControl w:val="false"/>
      <w:suppressAutoHyphens w:val="true"/>
      <w:overflowPunct w:val="true"/>
      <w:ind w:left="1440" w:hanging="1430"/>
      <w:textAlignment w:val="baseline"/>
      <w:outlineLvl w:val="3"/>
    </w:pPr>
    <w:rPr>
      <w:rFonts w:cs="Times New Roman"/>
      <w:sz w:val="24"/>
      <w:szCs w:val="24"/>
      <w:u w:val="single"/>
      <w:lang w:eastAsia="ar-SA"/>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8f3b44"/>
    <w:rPr/>
  </w:style>
  <w:style w:type="character" w:styleId="Nagwek3Znak" w:customStyle="1">
    <w:name w:val="Nagłówek 3 Znak"/>
    <w:link w:val="Nagwek3"/>
    <w:qFormat/>
    <w:rsid w:val="00132529"/>
    <w:rPr>
      <w:rFonts w:ascii="Arial" w:hAnsi="Arial"/>
      <w:b/>
      <w:sz w:val="22"/>
      <w:szCs w:val="24"/>
    </w:rPr>
  </w:style>
  <w:style w:type="character" w:styleId="Czeinternetowe">
    <w:name w:val="Łącze internetowe"/>
    <w:uiPriority w:val="99"/>
    <w:unhideWhenUsed/>
    <w:rsid w:val="002662ec"/>
    <w:rPr>
      <w:color w:val="0000FF"/>
      <w:u w:val="single"/>
    </w:rPr>
  </w:style>
  <w:style w:type="character" w:styleId="TekstdymkaZnak" w:customStyle="1">
    <w:name w:val="Tekst dymka Znak"/>
    <w:link w:val="Tekstdymka"/>
    <w:uiPriority w:val="99"/>
    <w:semiHidden/>
    <w:qFormat/>
    <w:rsid w:val="002662ec"/>
    <w:rPr>
      <w:rFonts w:ascii="Tahoma" w:hAnsi="Tahoma" w:cs="Tahoma"/>
      <w:sz w:val="16"/>
      <w:szCs w:val="16"/>
    </w:rPr>
  </w:style>
  <w:style w:type="character" w:styleId="Nagwek2Znak" w:customStyle="1">
    <w:name w:val="Nagłówek 2 Znak"/>
    <w:link w:val="Nagwek2"/>
    <w:qFormat/>
    <w:rsid w:val="004f4a5d"/>
    <w:rPr>
      <w:rFonts w:ascii="Arial" w:hAnsi="Arial"/>
      <w:b/>
      <w:bCs/>
      <w:sz w:val="22"/>
      <w:szCs w:val="22"/>
      <w:u w:val="single"/>
    </w:rPr>
  </w:style>
  <w:style w:type="character" w:styleId="BezodstpwZnak" w:customStyle="1">
    <w:name w:val="Bez odstępów Znak"/>
    <w:link w:val="Bezodstpw"/>
    <w:uiPriority w:val="1"/>
    <w:qFormat/>
    <w:rsid w:val="00b9184e"/>
    <w:rPr>
      <w:rFonts w:ascii="Calibri" w:hAnsi="Calibri"/>
      <w:sz w:val="22"/>
      <w:szCs w:val="22"/>
      <w:lang w:eastAsia="en-US" w:bidi="ar-SA"/>
    </w:rPr>
  </w:style>
  <w:style w:type="character" w:styleId="StopkaZnak" w:customStyle="1">
    <w:name w:val="Stopka Znak"/>
    <w:link w:val="Stopka"/>
    <w:uiPriority w:val="99"/>
    <w:qFormat/>
    <w:rsid w:val="004640bd"/>
    <w:rPr>
      <w:rFonts w:ascii="Arial" w:hAnsi="Arial" w:cs="Arial"/>
      <w:sz w:val="22"/>
      <w:szCs w:val="22"/>
    </w:rPr>
  </w:style>
  <w:style w:type="character" w:styleId="NagwekZnak" w:customStyle="1">
    <w:name w:val="Nagłówek Znak"/>
    <w:link w:val="Nagwek"/>
    <w:uiPriority w:val="99"/>
    <w:qFormat/>
    <w:rsid w:val="004640bd"/>
    <w:rPr>
      <w:rFonts w:ascii="Arial" w:hAnsi="Arial" w:cs="Arial"/>
      <w:sz w:val="22"/>
      <w:szCs w:val="22"/>
    </w:rPr>
  </w:style>
  <w:style w:type="character" w:styleId="TekstprzypisukocowegoZnak" w:customStyle="1">
    <w:name w:val="Tekst przypisu końcowego Znak"/>
    <w:link w:val="Tekstprzypisukocowego"/>
    <w:uiPriority w:val="99"/>
    <w:semiHidden/>
    <w:qFormat/>
    <w:rsid w:val="00e31a4e"/>
    <w:rPr>
      <w:rFonts w:ascii="Arial" w:hAnsi="Arial" w:cs="Arial"/>
    </w:rPr>
  </w:style>
  <w:style w:type="character" w:styleId="Endnotereference">
    <w:name w:val="endnote reference"/>
    <w:uiPriority w:val="99"/>
    <w:semiHidden/>
    <w:unhideWhenUsed/>
    <w:qFormat/>
    <w:rsid w:val="00e31a4e"/>
    <w:rPr>
      <w:vertAlign w:val="superscript"/>
    </w:rPr>
  </w:style>
  <w:style w:type="character" w:styleId="Nagwek4Znak" w:customStyle="1">
    <w:name w:val="Nagłówek 4 Znak"/>
    <w:link w:val="Nagwek4"/>
    <w:uiPriority w:val="9"/>
    <w:qFormat/>
    <w:rsid w:val="005c6c57"/>
    <w:rPr>
      <w:rFonts w:ascii="Arial" w:hAnsi="Arial" w:cs="Arial"/>
      <w:sz w:val="24"/>
      <w:szCs w:val="24"/>
      <w:u w:val="single"/>
      <w:lang w:eastAsia="ar-SA"/>
    </w:rPr>
  </w:style>
  <w:style w:type="character" w:styleId="AgaNormalnyZnak" w:customStyle="1">
    <w:name w:val="Aga Normalny Znak"/>
    <w:link w:val="AgaNormalny"/>
    <w:qFormat/>
    <w:rsid w:val="005c6c57"/>
    <w:rPr>
      <w:rFonts w:ascii="Arial" w:hAnsi="Arial" w:cs="Arial"/>
      <w:sz w:val="24"/>
      <w:szCs w:val="24"/>
      <w:lang w:eastAsia="en-US"/>
    </w:rPr>
  </w:style>
  <w:style w:type="character" w:styleId="AgaNormalnymylnikiZnak" w:customStyle="1">
    <w:name w:val="Aga Normalny- myślniki Znak"/>
    <w:basedOn w:val="AgaNormalnyZnak"/>
    <w:link w:val="AgaNormalny-mylniki"/>
    <w:qFormat/>
    <w:rsid w:val="005c6c57"/>
    <w:rPr/>
  </w:style>
  <w:style w:type="character" w:styleId="AgaNormalnypogrubionyZnak" w:customStyle="1">
    <w:name w:val="Aga Normalny- pogrubiony Znak"/>
    <w:link w:val="AgaNormalny-pogrubiony"/>
    <w:qFormat/>
    <w:rsid w:val="005c6c57"/>
    <w:rPr>
      <w:rFonts w:ascii="Arial" w:hAnsi="Arial" w:cs="Arial"/>
      <w:b/>
      <w:sz w:val="24"/>
      <w:szCs w:val="24"/>
      <w:lang w:eastAsia="ar-SA"/>
    </w:rPr>
  </w:style>
  <w:style w:type="character" w:styleId="Nagwek1Znak" w:customStyle="1">
    <w:name w:val="Nagłówek 1 Znak"/>
    <w:link w:val="Nagwek1"/>
    <w:qFormat/>
    <w:rsid w:val="005c6c57"/>
    <w:rPr>
      <w:rFonts w:ascii="Arial" w:hAnsi="Arial"/>
      <w:b/>
      <w:bCs/>
      <w:sz w:val="24"/>
      <w:szCs w:val="22"/>
    </w:rPr>
  </w:style>
  <w:style w:type="character" w:styleId="PlandokumentuZnak" w:customStyle="1">
    <w:name w:val="Plan dokumentu Znak"/>
    <w:link w:val="Plandokumentu"/>
    <w:uiPriority w:val="99"/>
    <w:semiHidden/>
    <w:qFormat/>
    <w:rsid w:val="005c6c57"/>
    <w:rPr>
      <w:rFonts w:ascii="Tahoma" w:hAnsi="Tahoma" w:cs="Tahoma"/>
      <w:sz w:val="16"/>
      <w:szCs w:val="16"/>
      <w:lang w:eastAsia="en-US"/>
    </w:rPr>
  </w:style>
  <w:style w:type="character" w:styleId="Tekstpodstawowywcity2Znak" w:customStyle="1">
    <w:name w:val="Tekst podstawowy wcięty 2 Znak"/>
    <w:link w:val="Tekstpodstawowywcity2"/>
    <w:semiHidden/>
    <w:qFormat/>
    <w:rsid w:val="00772a16"/>
    <w:rPr>
      <w:rFonts w:ascii="Arial" w:hAnsi="Arial" w:cs="Arial"/>
      <w:sz w:val="26"/>
      <w:szCs w:val="22"/>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OpenSymbol"/>
    </w:rPr>
  </w:style>
  <w:style w:type="character" w:styleId="ListLabel4">
    <w:name w:val="ListLabel 4"/>
    <w:qFormat/>
    <w:rPr>
      <w:rFonts w:ascii="Arial Narrow" w:hAnsi="Arial Narrow"/>
      <w:color w:val="00000A"/>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semiHidden/>
    <w:rsid w:val="008f3b44"/>
    <w:pPr>
      <w:tabs>
        <w:tab w:val="left" w:pos="360" w:leader="none"/>
      </w:tabs>
    </w:pPr>
    <w:rPr>
      <w:sz w:val="26"/>
    </w:rPr>
  </w:style>
  <w:style w:type="paragraph" w:styleId="Lista">
    <w:name w:val="Lista"/>
    <w:basedOn w:val="Normal"/>
    <w:uiPriority w:val="99"/>
    <w:semiHidden/>
    <w:unhideWhenUsed/>
    <w:rsid w:val="000b6cde"/>
    <w:pPr>
      <w:spacing w:before="0" w:after="0"/>
      <w:ind w:left="283" w:hanging="283"/>
      <w:contextualSpacing/>
    </w:pPr>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cicietrecitekstu">
    <w:name w:val="Wcięcie treści tekstu"/>
    <w:basedOn w:val="Normal"/>
    <w:semiHidden/>
    <w:rsid w:val="008f3b44"/>
    <w:pPr>
      <w:ind w:left="450" w:firstLine="709"/>
    </w:pPr>
    <w:rPr>
      <w:sz w:val="26"/>
    </w:rPr>
  </w:style>
  <w:style w:type="paragraph" w:styleId="BodyTextIndent2">
    <w:name w:val="Body Text Indent 2"/>
    <w:basedOn w:val="Normal"/>
    <w:link w:val="Tekstpodstawowywcity2Znak"/>
    <w:semiHidden/>
    <w:qFormat/>
    <w:rsid w:val="008f3b44"/>
    <w:pPr>
      <w:ind w:left="720" w:firstLine="696"/>
    </w:pPr>
    <w:rPr>
      <w:rFonts w:cs="Times New Roman"/>
      <w:sz w:val="26"/>
    </w:rPr>
  </w:style>
  <w:style w:type="paragraph" w:styleId="Stopka">
    <w:name w:val="Stopka"/>
    <w:basedOn w:val="Normal"/>
    <w:link w:val="StopkaZnak"/>
    <w:uiPriority w:val="99"/>
    <w:rsid w:val="008f3b44"/>
    <w:pPr>
      <w:tabs>
        <w:tab w:val="center" w:pos="4536" w:leader="none"/>
        <w:tab w:val="right" w:pos="9072" w:leader="none"/>
      </w:tabs>
    </w:pPr>
    <w:rPr>
      <w:rFonts w:cs="Times New Roman"/>
    </w:rPr>
  </w:style>
  <w:style w:type="paragraph" w:styleId="Gwka">
    <w:name w:val="Główka"/>
    <w:basedOn w:val="Normal"/>
    <w:link w:val="NagwekZnak"/>
    <w:uiPriority w:val="99"/>
    <w:rsid w:val="008f3b44"/>
    <w:pPr>
      <w:tabs>
        <w:tab w:val="center" w:pos="4536" w:leader="none"/>
        <w:tab w:val="right" w:pos="9072" w:leader="none"/>
      </w:tabs>
    </w:pPr>
    <w:rPr>
      <w:rFonts w:cs="Times New Roman"/>
    </w:rPr>
  </w:style>
  <w:style w:type="paragraph" w:styleId="TOCHeading">
    <w:name w:val="TOC Heading"/>
    <w:basedOn w:val="Nagwek1"/>
    <w:uiPriority w:val="39"/>
    <w:unhideWhenUsed/>
    <w:qFormat/>
    <w:rsid w:val="002662ec"/>
    <w:pPr>
      <w:keepNext/>
      <w:keepLines/>
      <w:spacing w:lineRule="auto" w:line="276" w:before="480" w:after="0"/>
      <w:ind w:left="0" w:hanging="0"/>
      <w:jc w:val="left"/>
    </w:pPr>
    <w:rPr>
      <w:rFonts w:ascii="Cambria" w:hAnsi="Cambria"/>
      <w:color w:val="365F91"/>
      <w:sz w:val="28"/>
      <w:szCs w:val="28"/>
    </w:rPr>
  </w:style>
  <w:style w:type="paragraph" w:styleId="Spistreci2">
    <w:name w:val="Spis treści 2"/>
    <w:basedOn w:val="Normal"/>
    <w:autoRedefine/>
    <w:uiPriority w:val="39"/>
    <w:unhideWhenUsed/>
    <w:qFormat/>
    <w:rsid w:val="00422537"/>
    <w:pPr>
      <w:tabs>
        <w:tab w:val="left" w:pos="567" w:leader="none"/>
        <w:tab w:val="right" w:pos="9062" w:leader="dot"/>
      </w:tabs>
      <w:spacing w:lineRule="auto" w:line="240"/>
      <w:ind w:firstLine="85"/>
    </w:pPr>
    <w:rPr>
      <w:sz w:val="18"/>
      <w:szCs w:val="18"/>
    </w:rPr>
  </w:style>
  <w:style w:type="paragraph" w:styleId="Spistreci1">
    <w:name w:val="Spis treści 1"/>
    <w:basedOn w:val="Lista"/>
    <w:autoRedefine/>
    <w:uiPriority w:val="39"/>
    <w:unhideWhenUsed/>
    <w:qFormat/>
    <w:rsid w:val="00cb45e8"/>
    <w:pPr>
      <w:tabs>
        <w:tab w:val="right" w:pos="9062" w:leader="dot"/>
      </w:tabs>
      <w:spacing w:lineRule="auto" w:line="240" w:before="0" w:after="100"/>
      <w:ind w:left="142" w:hanging="142"/>
      <w:jc w:val="left"/>
    </w:pPr>
    <w:rPr>
      <w:rFonts w:cs="Times New Roman"/>
      <w:sz w:val="20"/>
      <w:szCs w:val="20"/>
    </w:rPr>
  </w:style>
  <w:style w:type="paragraph" w:styleId="Spistreci3">
    <w:name w:val="Spis treści 3"/>
    <w:basedOn w:val="Normal"/>
    <w:autoRedefine/>
    <w:uiPriority w:val="39"/>
    <w:unhideWhenUsed/>
    <w:qFormat/>
    <w:rsid w:val="002662ec"/>
    <w:pPr>
      <w:spacing w:lineRule="auto" w:line="276" w:before="0" w:after="100"/>
      <w:ind w:left="440" w:hanging="0"/>
      <w:jc w:val="left"/>
    </w:pPr>
    <w:rPr>
      <w:rFonts w:ascii="Calibri" w:hAnsi="Calibri" w:cs="Times New Roman"/>
    </w:rPr>
  </w:style>
  <w:style w:type="paragraph" w:styleId="BalloonText">
    <w:name w:val="Balloon Text"/>
    <w:basedOn w:val="Normal"/>
    <w:link w:val="TekstdymkaZnak"/>
    <w:uiPriority w:val="99"/>
    <w:semiHidden/>
    <w:unhideWhenUsed/>
    <w:qFormat/>
    <w:rsid w:val="002662ec"/>
    <w:pPr>
      <w:spacing w:lineRule="auto" w:line="240"/>
    </w:pPr>
    <w:rPr>
      <w:rFonts w:ascii="Tahoma" w:hAnsi="Tahoma" w:cs="Times New Roman"/>
      <w:sz w:val="16"/>
      <w:szCs w:val="16"/>
    </w:rPr>
  </w:style>
  <w:style w:type="paragraph" w:styleId="ListParagraph">
    <w:name w:val="List Paragraph"/>
    <w:basedOn w:val="Normal"/>
    <w:uiPriority w:val="34"/>
    <w:qFormat/>
    <w:rsid w:val="00b442ac"/>
    <w:pPr>
      <w:spacing w:before="0" w:after="0"/>
      <w:ind w:left="720" w:hanging="0"/>
      <w:contextualSpacing/>
    </w:pPr>
    <w:rPr>
      <w:sz w:val="24"/>
      <w:szCs w:val="24"/>
    </w:rPr>
  </w:style>
  <w:style w:type="paragraph" w:styleId="NoSpacing">
    <w:name w:val="No Spacing"/>
    <w:link w:val="BezodstpwZnak"/>
    <w:uiPriority w:val="1"/>
    <w:qFormat/>
    <w:rsid w:val="00b9184e"/>
    <w:pPr>
      <w:widowControl/>
      <w:bidi w:val="0"/>
      <w:jc w:val="left"/>
    </w:pPr>
    <w:rPr>
      <w:rFonts w:ascii="Calibri" w:hAnsi="Calibri" w:eastAsia="Times New Roman" w:cs="Times New Roman"/>
      <w:color w:val="auto"/>
      <w:sz w:val="22"/>
      <w:szCs w:val="22"/>
      <w:lang w:eastAsia="en-US" w:val="pl-PL" w:bidi="ar-SA"/>
    </w:rPr>
  </w:style>
  <w:style w:type="paragraph" w:styleId="Endnotetext">
    <w:name w:val="endnote text"/>
    <w:basedOn w:val="Normal"/>
    <w:link w:val="TekstprzypisukocowegoZnak"/>
    <w:uiPriority w:val="99"/>
    <w:semiHidden/>
    <w:unhideWhenUsed/>
    <w:qFormat/>
    <w:rsid w:val="00e31a4e"/>
    <w:pPr/>
    <w:rPr>
      <w:rFonts w:cs="Times New Roman"/>
      <w:sz w:val="20"/>
      <w:szCs w:val="20"/>
    </w:rPr>
  </w:style>
  <w:style w:type="paragraph" w:styleId="AgaNormalny" w:customStyle="1">
    <w:name w:val="Aga Normalny"/>
    <w:basedOn w:val="Normal"/>
    <w:link w:val="AgaNormalnyZnak"/>
    <w:qFormat/>
    <w:rsid w:val="005c6c57"/>
    <w:pPr>
      <w:ind w:hanging="0"/>
    </w:pPr>
    <w:rPr>
      <w:rFonts w:cs="Times New Roman"/>
      <w:sz w:val="24"/>
      <w:szCs w:val="24"/>
      <w:lang w:eastAsia="en-US"/>
    </w:rPr>
  </w:style>
  <w:style w:type="paragraph" w:styleId="AgaNormalnymylniki" w:customStyle="1">
    <w:name w:val="Aga Normalny- myślniki"/>
    <w:basedOn w:val="AgaNormalny"/>
    <w:link w:val="AgaNormalny-mylnikiZnak"/>
    <w:qFormat/>
    <w:rsid w:val="005c6c57"/>
    <w:pPr/>
    <w:rPr/>
  </w:style>
  <w:style w:type="paragraph" w:styleId="AgaNormalnypogrubiony" w:customStyle="1">
    <w:name w:val="Aga Normalny- pogrubiony"/>
    <w:basedOn w:val="Normal"/>
    <w:link w:val="AgaNormalny-pogrubionyZnak"/>
    <w:qFormat/>
    <w:rsid w:val="005c6c57"/>
    <w:pPr>
      <w:widowControl w:val="false"/>
      <w:suppressAutoHyphens w:val="true"/>
      <w:overflowPunct w:val="true"/>
      <w:ind w:hanging="0"/>
      <w:textAlignment w:val="baseline"/>
    </w:pPr>
    <w:rPr>
      <w:rFonts w:cs="Times New Roman"/>
      <w:b/>
      <w:sz w:val="24"/>
      <w:szCs w:val="24"/>
      <w:lang w:eastAsia="ar-SA"/>
    </w:rPr>
  </w:style>
  <w:style w:type="paragraph" w:styleId="DocumentMap">
    <w:name w:val="Document Map"/>
    <w:basedOn w:val="Normal"/>
    <w:link w:val="PlandokumentuZnak"/>
    <w:uiPriority w:val="99"/>
    <w:semiHidden/>
    <w:unhideWhenUsed/>
    <w:qFormat/>
    <w:rsid w:val="005c6c57"/>
    <w:pPr>
      <w:spacing w:lineRule="auto" w:line="240"/>
      <w:ind w:hanging="0"/>
      <w:jc w:val="left"/>
    </w:pPr>
    <w:rPr>
      <w:rFonts w:ascii="Tahoma" w:hAnsi="Tahoma" w:cs="Times New Roman"/>
      <w:sz w:val="16"/>
      <w:szCs w:val="16"/>
      <w:lang w:eastAsia="en-US"/>
    </w:rPr>
  </w:style>
  <w:style w:type="numbering" w:styleId="NoList" w:default="1">
    <w:name w:val="No List"/>
    <w:uiPriority w:val="99"/>
    <w:semiHidden/>
    <w:unhideWhenUsed/>
  </w:style>
  <w:style w:type="numbering" w:styleId="Bezlisty1" w:customStyle="1">
    <w:name w:val="Bez listy1"/>
    <w:uiPriority w:val="99"/>
    <w:semiHidden/>
    <w:unhideWhenUsed/>
    <w:rsid w:val="004640b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4d4829"/>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90AB-5BB0-4DE6-84FD-AEC7A75E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LibreOffice/5.0.4.2$Windows_x86 LibreOffice_project/2b9802c1994aa0b7dc6079e128979269cf95bc78</Application>
  <Paragraphs>100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2017-05-18T10:47:00Z</dcterms:created>
  <dc:creator>*</dc:creator>
  <dc:language>pl-PL</dc:language>
  <cp:lastPrinted>2017-07-13T12:02:00Z</cp:lastPrinted>
  <dcterms:modified xsi:type="dcterms:W3CDTF">2018-12-20T15:06:58Z</dcterms:modified>
  <cp:revision>39</cp:revision>
  <dc:title>Zawartość opracowania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